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CA79EC" w14:textId="77777777" w:rsidR="006D7D7F" w:rsidRDefault="006D7D7F">
      <w:pPr>
        <w:tabs>
          <w:tab w:val="left" w:pos="6660"/>
        </w:tabs>
        <w:spacing w:line="360" w:lineRule="auto"/>
        <w:jc w:val="center"/>
        <w:rPr>
          <w:bCs/>
          <w:sz w:val="44"/>
        </w:rPr>
      </w:pPr>
    </w:p>
    <w:p w14:paraId="1FB40F94" w14:textId="77777777" w:rsidR="006D7D7F" w:rsidRDefault="008841B6">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59C6671F" w14:textId="77777777" w:rsidR="006D7D7F" w:rsidRDefault="008841B6">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2B6EFF9B" w14:textId="77777777" w:rsidR="006D7D7F" w:rsidRDefault="008841B6">
      <w:pPr>
        <w:jc w:val="center"/>
        <w:rPr>
          <w:b/>
          <w:sz w:val="52"/>
        </w:rPr>
      </w:pPr>
      <w:proofErr w:type="gramStart"/>
      <w:r>
        <w:rPr>
          <w:b/>
          <w:sz w:val="52"/>
        </w:rPr>
        <w:t>汇添富基金</w:t>
      </w:r>
      <w:proofErr w:type="gramEnd"/>
      <w:r>
        <w:rPr>
          <w:b/>
          <w:sz w:val="52"/>
        </w:rPr>
        <w:t>管理股份有限公司</w:t>
      </w:r>
    </w:p>
    <w:p w14:paraId="5C50B400" w14:textId="77777777" w:rsidR="006D7D7F" w:rsidRDefault="006D7D7F">
      <w:pPr>
        <w:jc w:val="center"/>
        <w:rPr>
          <w:b/>
          <w:sz w:val="52"/>
        </w:rPr>
      </w:pPr>
    </w:p>
    <w:p w14:paraId="1F1643E9" w14:textId="77777777" w:rsidR="006D7D7F" w:rsidRDefault="006D7D7F">
      <w:pPr>
        <w:rPr>
          <w:b/>
        </w:rPr>
      </w:pPr>
    </w:p>
    <w:p w14:paraId="3438084E" w14:textId="77777777" w:rsidR="006D7D7F" w:rsidRDefault="006D7D7F">
      <w:pPr>
        <w:jc w:val="center"/>
        <w:rPr>
          <w:b/>
          <w:sz w:val="52"/>
        </w:rPr>
      </w:pPr>
    </w:p>
    <w:p w14:paraId="64A356D3" w14:textId="44ED254C" w:rsidR="006D7D7F" w:rsidRDefault="008841B6">
      <w:pPr>
        <w:jc w:val="center"/>
        <w:rPr>
          <w:b/>
          <w:sz w:val="48"/>
        </w:rPr>
      </w:pPr>
      <w:bookmarkStart w:id="0" w:name="_Toc123112223"/>
      <w:bookmarkStart w:id="1" w:name="_Toc123701382"/>
      <w:bookmarkStart w:id="2" w:name="_Toc139991725"/>
      <w:bookmarkStart w:id="3" w:name="_Toc139992300"/>
      <w:bookmarkStart w:id="4" w:name="_Toc123112262"/>
      <w:proofErr w:type="gramStart"/>
      <w:r>
        <w:rPr>
          <w:rFonts w:ascii="宋体" w:hAnsi="宋体"/>
          <w:b/>
          <w:sz w:val="48"/>
        </w:rPr>
        <w:t>汇添富国证价值</w:t>
      </w:r>
      <w:proofErr w:type="gramEnd"/>
      <w:r>
        <w:rPr>
          <w:rFonts w:ascii="宋体" w:hAnsi="宋体"/>
          <w:b/>
          <w:sz w:val="48"/>
        </w:rPr>
        <w:t>100交易型开放式指数证券投资</w:t>
      </w:r>
      <w:proofErr w:type="gramStart"/>
      <w:r>
        <w:rPr>
          <w:rFonts w:ascii="宋体" w:hAnsi="宋体"/>
          <w:b/>
          <w:sz w:val="48"/>
        </w:rPr>
        <w:t>基金</w:t>
      </w:r>
      <w:r>
        <w:rPr>
          <w:rFonts w:ascii="宋体" w:hAnsi="宋体" w:hint="eastAsia"/>
          <w:b/>
          <w:sz w:val="48"/>
        </w:rPr>
        <w:t>基金</w:t>
      </w:r>
      <w:proofErr w:type="gramEnd"/>
      <w:r>
        <w:rPr>
          <w:rFonts w:ascii="宋体" w:hAnsi="宋体" w:hint="eastAsia"/>
          <w:b/>
          <w:sz w:val="48"/>
        </w:rPr>
        <w:t>合同</w:t>
      </w:r>
      <w:bookmarkEnd w:id="0"/>
      <w:bookmarkEnd w:id="1"/>
      <w:bookmarkEnd w:id="2"/>
      <w:bookmarkEnd w:id="3"/>
      <w:bookmarkEnd w:id="4"/>
    </w:p>
    <w:p w14:paraId="6946C939" w14:textId="77777777" w:rsidR="006D7D7F" w:rsidRDefault="006D7D7F">
      <w:pPr>
        <w:jc w:val="center"/>
        <w:rPr>
          <w:b/>
          <w:sz w:val="52"/>
        </w:rPr>
      </w:pPr>
    </w:p>
    <w:p w14:paraId="5BA2711D" w14:textId="77777777" w:rsidR="006D7D7F" w:rsidRDefault="006D7D7F">
      <w:pPr>
        <w:jc w:val="center"/>
        <w:rPr>
          <w:b/>
          <w:sz w:val="52"/>
        </w:rPr>
      </w:pPr>
    </w:p>
    <w:p w14:paraId="01DA4479" w14:textId="77777777" w:rsidR="006D7D7F" w:rsidRDefault="008841B6">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2D818EC1" w14:textId="77777777" w:rsidR="006D7D7F" w:rsidRDefault="008841B6">
      <w:pPr>
        <w:jc w:val="center"/>
        <w:rPr>
          <w:b/>
          <w:sz w:val="32"/>
        </w:rPr>
      </w:pPr>
      <w:bookmarkStart w:id="5" w:name="_Toc123112263"/>
      <w:bookmarkStart w:id="6" w:name="_Toc123701383"/>
      <w:bookmarkStart w:id="7" w:name="_Toc139992301"/>
      <w:bookmarkStart w:id="8" w:name="_Toc123112224"/>
      <w:bookmarkStart w:id="9" w:name="_Toc139991726"/>
      <w:r>
        <w:rPr>
          <w:rFonts w:hint="eastAsia"/>
          <w:b/>
          <w:sz w:val="32"/>
        </w:rPr>
        <w:t>基金管理人：</w:t>
      </w:r>
      <w:bookmarkEnd w:id="5"/>
      <w:bookmarkEnd w:id="6"/>
      <w:bookmarkEnd w:id="7"/>
      <w:bookmarkEnd w:id="8"/>
      <w:bookmarkEnd w:id="9"/>
      <w:proofErr w:type="gramStart"/>
      <w:r>
        <w:rPr>
          <w:b/>
          <w:sz w:val="32"/>
        </w:rPr>
        <w:t>汇添富基金</w:t>
      </w:r>
      <w:proofErr w:type="gramEnd"/>
      <w:r>
        <w:rPr>
          <w:b/>
          <w:sz w:val="32"/>
        </w:rPr>
        <w:t>管理股份有限公司</w:t>
      </w:r>
    </w:p>
    <w:p w14:paraId="5E4E4FD1" w14:textId="77777777" w:rsidR="006D7D7F" w:rsidRDefault="008841B6">
      <w:pPr>
        <w:jc w:val="center"/>
        <w:rPr>
          <w:b/>
          <w:sz w:val="32"/>
        </w:rPr>
      </w:pPr>
      <w:bookmarkStart w:id="10" w:name="_Toc123701384"/>
      <w:bookmarkStart w:id="11" w:name="_Toc139991727"/>
      <w:bookmarkStart w:id="12" w:name="_Toc123112264"/>
      <w:bookmarkStart w:id="13" w:name="_Toc123112225"/>
      <w:bookmarkStart w:id="14" w:name="_Toc139992302"/>
      <w:r>
        <w:rPr>
          <w:rFonts w:hint="eastAsia"/>
          <w:b/>
          <w:sz w:val="32"/>
        </w:rPr>
        <w:t>基金托管人：</w:t>
      </w:r>
      <w:bookmarkEnd w:id="10"/>
      <w:bookmarkEnd w:id="11"/>
      <w:bookmarkEnd w:id="12"/>
      <w:bookmarkEnd w:id="13"/>
      <w:bookmarkEnd w:id="14"/>
      <w:r>
        <w:rPr>
          <w:b/>
          <w:sz w:val="32"/>
        </w:rPr>
        <w:t>中国建设银行股份有限公司</w:t>
      </w:r>
    </w:p>
    <w:p w14:paraId="7D58DD43" w14:textId="77777777" w:rsidR="006D7D7F" w:rsidRDefault="006D7D7F">
      <w:pPr>
        <w:jc w:val="center"/>
        <w:rPr>
          <w:b/>
          <w:sz w:val="30"/>
        </w:rPr>
      </w:pPr>
      <w:bookmarkStart w:id="15" w:name="_Toc123112227"/>
      <w:bookmarkStart w:id="16" w:name="_Toc139991729"/>
      <w:bookmarkStart w:id="17" w:name="_Toc123701386"/>
      <w:bookmarkStart w:id="18" w:name="_Toc123112266"/>
    </w:p>
    <w:p w14:paraId="552D5976" w14:textId="77777777" w:rsidR="006D7D7F" w:rsidRDefault="006D7D7F">
      <w:pPr>
        <w:jc w:val="center"/>
        <w:rPr>
          <w:b/>
          <w:sz w:val="30"/>
        </w:rPr>
      </w:pPr>
    </w:p>
    <w:p w14:paraId="47CDE31A" w14:textId="77777777" w:rsidR="006D7D7F" w:rsidRDefault="006D7D7F">
      <w:pPr>
        <w:jc w:val="center"/>
        <w:rPr>
          <w:b/>
          <w:bCs/>
          <w:sz w:val="30"/>
        </w:rPr>
      </w:pPr>
    </w:p>
    <w:p w14:paraId="29FF091E" w14:textId="77777777" w:rsidR="006D7D7F" w:rsidRDefault="006D7D7F">
      <w:pPr>
        <w:jc w:val="center"/>
        <w:rPr>
          <w:rFonts w:ascii="宋体"/>
          <w:b/>
          <w:bCs/>
          <w:sz w:val="30"/>
        </w:rPr>
      </w:pPr>
    </w:p>
    <w:p w14:paraId="380D86BC" w14:textId="77777777" w:rsidR="006D7D7F" w:rsidRDefault="006D7D7F">
      <w:pPr>
        <w:jc w:val="center"/>
        <w:rPr>
          <w:rFonts w:ascii="宋体"/>
          <w:b/>
          <w:bCs/>
          <w:sz w:val="30"/>
        </w:rPr>
        <w:sectPr w:rsidR="006D7D7F">
          <w:footerReference w:type="default" r:id="rId9"/>
          <w:pgSz w:w="11906" w:h="16838"/>
          <w:pgMar w:top="1440" w:right="1800" w:bottom="1440" w:left="1800" w:header="851" w:footer="992" w:gutter="0"/>
          <w:cols w:space="720"/>
          <w:docGrid w:type="lines" w:linePitch="312"/>
        </w:sectPr>
      </w:pPr>
      <w:bookmarkStart w:id="19" w:name="_Toc29629"/>
      <w:bookmarkStart w:id="20" w:name="_Toc26897"/>
      <w:bookmarkStart w:id="21" w:name="_Toc141703880"/>
      <w:bookmarkStart w:id="22" w:name="_Toc139991730"/>
      <w:bookmarkStart w:id="23" w:name="_Toc30935"/>
      <w:bookmarkStart w:id="24" w:name="_Toc233456271"/>
      <w:bookmarkStart w:id="25" w:name="_Toc6306"/>
      <w:bookmarkStart w:id="26" w:name="_Toc8727"/>
      <w:bookmarkStart w:id="27" w:name="_Toc23386"/>
      <w:bookmarkStart w:id="28" w:name="_Toc123112268"/>
      <w:bookmarkStart w:id="29" w:name="_Toc15517"/>
      <w:bookmarkStart w:id="30" w:name="_Toc4966"/>
      <w:bookmarkStart w:id="31" w:name="_Toc32639"/>
      <w:bookmarkStart w:id="32" w:name="_Toc4867"/>
      <w:bookmarkStart w:id="33" w:name="_Toc123701389"/>
      <w:bookmarkStart w:id="34" w:name="_Toc123112229"/>
      <w:bookmarkEnd w:id="15"/>
      <w:bookmarkEnd w:id="16"/>
      <w:bookmarkEnd w:id="17"/>
      <w:bookmarkEnd w:id="18"/>
    </w:p>
    <w:p w14:paraId="79F6B508" w14:textId="77777777" w:rsidR="006D7D7F" w:rsidRDefault="008841B6">
      <w:pPr>
        <w:autoSpaceDE w:val="0"/>
        <w:autoSpaceDN w:val="0"/>
        <w:adjustRightInd w:val="0"/>
        <w:spacing w:line="360" w:lineRule="auto"/>
        <w:ind w:firstLineChars="200" w:firstLine="482"/>
        <w:jc w:val="center"/>
        <w:rPr>
          <w:rFonts w:ascii="宋体" w:hAnsi="宋体" w:cs="宋体"/>
          <w:b/>
          <w:sz w:val="24"/>
        </w:rPr>
      </w:pPr>
      <w:r>
        <w:rPr>
          <w:rStyle w:val="read"/>
          <w:rFonts w:ascii="宋体" w:hAnsi="宋体" w:cs="宋体"/>
          <w:b/>
          <w:sz w:val="24"/>
        </w:rPr>
        <w:lastRenderedPageBreak/>
        <w:t>目录</w:t>
      </w:r>
    </w:p>
    <w:p w14:paraId="088BF2D7" w14:textId="7EA38ADC" w:rsidR="001D5D72" w:rsidRDefault="008841B6">
      <w:pPr>
        <w:pStyle w:val="11"/>
        <w:rPr>
          <w:rFonts w:asciiTheme="minorHAnsi" w:hAnsiTheme="minorHAnsi"/>
          <w:noProof/>
        </w:rPr>
      </w:pPr>
      <w:r>
        <w:rPr>
          <w:rStyle w:val="read"/>
          <w:rFonts w:ascii="宋体" w:hAnsi="宋体" w:cs="宋体"/>
          <w:b/>
          <w:sz w:val="24"/>
        </w:rPr>
        <w:fldChar w:fldCharType="begin"/>
      </w:r>
      <w:r>
        <w:rPr>
          <w:rStyle w:val="read"/>
          <w:rFonts w:ascii="宋体" w:hAnsi="宋体" w:cs="宋体"/>
          <w:b/>
          <w:sz w:val="24"/>
        </w:rPr>
        <w:instrText>TOC \o "1-1" \h \z \u</w:instrText>
      </w:r>
      <w:r>
        <w:rPr>
          <w:rStyle w:val="read"/>
          <w:rFonts w:ascii="宋体" w:hAnsi="宋体" w:cs="宋体"/>
          <w:b/>
          <w:sz w:val="24"/>
        </w:rPr>
        <w:fldChar w:fldCharType="separate"/>
      </w:r>
      <w:hyperlink w:anchor="_Toc256000000" w:history="1">
        <w:r>
          <w:rPr>
            <w:rStyle w:val="af5"/>
            <w:noProof/>
          </w:rPr>
          <w:t>第一部分</w:t>
        </w:r>
        <w:r>
          <w:rPr>
            <w:rStyle w:val="af5"/>
            <w:noProof/>
          </w:rPr>
          <w:t xml:space="preserve">  </w:t>
        </w:r>
        <w:r>
          <w:rPr>
            <w:rStyle w:val="af5"/>
            <w:noProof/>
          </w:rPr>
          <w:t>前言</w:t>
        </w:r>
        <w:r>
          <w:rPr>
            <w:noProof/>
          </w:rPr>
          <w:tab/>
        </w:r>
        <w:r>
          <w:rPr>
            <w:noProof/>
          </w:rPr>
          <w:fldChar w:fldCharType="begin"/>
        </w:r>
        <w:r>
          <w:rPr>
            <w:noProof/>
          </w:rPr>
          <w:instrText xml:space="preserve"> PAGEREF _Toc256000000 \h </w:instrText>
        </w:r>
        <w:r>
          <w:rPr>
            <w:noProof/>
          </w:rPr>
        </w:r>
        <w:r>
          <w:rPr>
            <w:noProof/>
          </w:rPr>
          <w:fldChar w:fldCharType="separate"/>
        </w:r>
        <w:r w:rsidR="002C65C7">
          <w:rPr>
            <w:noProof/>
          </w:rPr>
          <w:t>1</w:t>
        </w:r>
        <w:r>
          <w:rPr>
            <w:noProof/>
          </w:rPr>
          <w:fldChar w:fldCharType="end"/>
        </w:r>
      </w:hyperlink>
    </w:p>
    <w:p w14:paraId="7BEFCA30" w14:textId="6DE6DA7E" w:rsidR="001D5D72" w:rsidRDefault="00766B00">
      <w:pPr>
        <w:pStyle w:val="11"/>
        <w:rPr>
          <w:rFonts w:asciiTheme="minorHAnsi" w:hAnsiTheme="minorHAnsi"/>
          <w:noProof/>
        </w:rPr>
      </w:pPr>
      <w:hyperlink w:anchor="_Toc256000001" w:history="1">
        <w:r w:rsidR="008841B6">
          <w:rPr>
            <w:rStyle w:val="af5"/>
            <w:noProof/>
          </w:rPr>
          <w:t>第二部分</w:t>
        </w:r>
        <w:r w:rsidR="008841B6">
          <w:rPr>
            <w:rStyle w:val="af5"/>
            <w:noProof/>
          </w:rPr>
          <w:t xml:space="preserve">  </w:t>
        </w:r>
        <w:r w:rsidR="008841B6">
          <w:rPr>
            <w:rStyle w:val="af5"/>
            <w:noProof/>
          </w:rPr>
          <w:t>释义</w:t>
        </w:r>
        <w:r w:rsidR="008841B6">
          <w:rPr>
            <w:noProof/>
          </w:rPr>
          <w:tab/>
        </w:r>
        <w:r w:rsidR="008841B6">
          <w:rPr>
            <w:noProof/>
          </w:rPr>
          <w:fldChar w:fldCharType="begin"/>
        </w:r>
        <w:r w:rsidR="008841B6">
          <w:rPr>
            <w:noProof/>
          </w:rPr>
          <w:instrText xml:space="preserve"> PAGEREF _Toc256000001 \h </w:instrText>
        </w:r>
        <w:r w:rsidR="008841B6">
          <w:rPr>
            <w:noProof/>
          </w:rPr>
        </w:r>
        <w:r w:rsidR="008841B6">
          <w:rPr>
            <w:noProof/>
          </w:rPr>
          <w:fldChar w:fldCharType="separate"/>
        </w:r>
        <w:r w:rsidR="002C65C7">
          <w:rPr>
            <w:noProof/>
          </w:rPr>
          <w:t>3</w:t>
        </w:r>
        <w:r w:rsidR="008841B6">
          <w:rPr>
            <w:noProof/>
          </w:rPr>
          <w:fldChar w:fldCharType="end"/>
        </w:r>
      </w:hyperlink>
    </w:p>
    <w:p w14:paraId="392C9A76" w14:textId="0CF936AE" w:rsidR="001D5D72" w:rsidRDefault="00766B00">
      <w:pPr>
        <w:pStyle w:val="11"/>
        <w:rPr>
          <w:rFonts w:asciiTheme="minorHAnsi" w:hAnsiTheme="minorHAnsi"/>
          <w:noProof/>
        </w:rPr>
      </w:pPr>
      <w:hyperlink w:anchor="_Toc256000002" w:history="1">
        <w:r w:rsidR="008841B6">
          <w:rPr>
            <w:rStyle w:val="af5"/>
            <w:noProof/>
          </w:rPr>
          <w:t>第三部分</w:t>
        </w:r>
        <w:r w:rsidR="008841B6">
          <w:rPr>
            <w:rStyle w:val="af5"/>
            <w:noProof/>
          </w:rPr>
          <w:t xml:space="preserve">  </w:t>
        </w:r>
        <w:r w:rsidR="008841B6">
          <w:rPr>
            <w:rStyle w:val="af5"/>
            <w:noProof/>
          </w:rPr>
          <w:t>基金的基本情况</w:t>
        </w:r>
        <w:r w:rsidR="008841B6">
          <w:rPr>
            <w:noProof/>
          </w:rPr>
          <w:tab/>
        </w:r>
        <w:r w:rsidR="008841B6">
          <w:rPr>
            <w:noProof/>
          </w:rPr>
          <w:fldChar w:fldCharType="begin"/>
        </w:r>
        <w:r w:rsidR="008841B6">
          <w:rPr>
            <w:noProof/>
          </w:rPr>
          <w:instrText xml:space="preserve"> PAGEREF _Toc256000002 \h </w:instrText>
        </w:r>
        <w:r w:rsidR="008841B6">
          <w:rPr>
            <w:noProof/>
          </w:rPr>
        </w:r>
        <w:r w:rsidR="008841B6">
          <w:rPr>
            <w:noProof/>
          </w:rPr>
          <w:fldChar w:fldCharType="separate"/>
        </w:r>
        <w:r w:rsidR="002C65C7">
          <w:rPr>
            <w:noProof/>
          </w:rPr>
          <w:t>9</w:t>
        </w:r>
        <w:r w:rsidR="008841B6">
          <w:rPr>
            <w:noProof/>
          </w:rPr>
          <w:fldChar w:fldCharType="end"/>
        </w:r>
      </w:hyperlink>
    </w:p>
    <w:p w14:paraId="7F2E60A1" w14:textId="3341020C" w:rsidR="001D5D72" w:rsidRDefault="00766B00">
      <w:pPr>
        <w:pStyle w:val="11"/>
        <w:rPr>
          <w:rFonts w:asciiTheme="minorHAnsi" w:hAnsiTheme="minorHAnsi"/>
          <w:noProof/>
        </w:rPr>
      </w:pPr>
      <w:hyperlink w:anchor="_Toc256000003" w:history="1">
        <w:r w:rsidR="008841B6">
          <w:rPr>
            <w:rStyle w:val="af5"/>
            <w:noProof/>
          </w:rPr>
          <w:t>第四部分</w:t>
        </w:r>
        <w:r w:rsidR="008841B6">
          <w:rPr>
            <w:rStyle w:val="af5"/>
            <w:noProof/>
          </w:rPr>
          <w:t xml:space="preserve">  </w:t>
        </w:r>
        <w:r w:rsidR="008841B6">
          <w:rPr>
            <w:rStyle w:val="af5"/>
            <w:noProof/>
          </w:rPr>
          <w:t>基金份额的发售</w:t>
        </w:r>
        <w:r w:rsidR="008841B6">
          <w:rPr>
            <w:noProof/>
          </w:rPr>
          <w:tab/>
        </w:r>
        <w:r w:rsidR="008841B6">
          <w:rPr>
            <w:noProof/>
          </w:rPr>
          <w:fldChar w:fldCharType="begin"/>
        </w:r>
        <w:r w:rsidR="008841B6">
          <w:rPr>
            <w:noProof/>
          </w:rPr>
          <w:instrText xml:space="preserve"> PAGEREF _Toc256000003 \h </w:instrText>
        </w:r>
        <w:r w:rsidR="008841B6">
          <w:rPr>
            <w:noProof/>
          </w:rPr>
        </w:r>
        <w:r w:rsidR="008841B6">
          <w:rPr>
            <w:noProof/>
          </w:rPr>
          <w:fldChar w:fldCharType="separate"/>
        </w:r>
        <w:r w:rsidR="002C65C7">
          <w:rPr>
            <w:noProof/>
          </w:rPr>
          <w:t>10</w:t>
        </w:r>
        <w:r w:rsidR="008841B6">
          <w:rPr>
            <w:noProof/>
          </w:rPr>
          <w:fldChar w:fldCharType="end"/>
        </w:r>
      </w:hyperlink>
    </w:p>
    <w:p w14:paraId="313DF06F" w14:textId="5361DACC" w:rsidR="001D5D72" w:rsidRDefault="00766B00">
      <w:pPr>
        <w:pStyle w:val="11"/>
        <w:rPr>
          <w:rFonts w:asciiTheme="minorHAnsi" w:hAnsiTheme="minorHAnsi"/>
          <w:noProof/>
        </w:rPr>
      </w:pPr>
      <w:hyperlink w:anchor="_Toc256000004" w:history="1">
        <w:r w:rsidR="008841B6">
          <w:rPr>
            <w:rStyle w:val="af5"/>
            <w:noProof/>
          </w:rPr>
          <w:t>第五部分</w:t>
        </w:r>
        <w:r w:rsidR="008841B6">
          <w:rPr>
            <w:rStyle w:val="af5"/>
            <w:noProof/>
          </w:rPr>
          <w:t xml:space="preserve">  </w:t>
        </w:r>
        <w:r w:rsidR="008841B6">
          <w:rPr>
            <w:rStyle w:val="af5"/>
            <w:noProof/>
          </w:rPr>
          <w:t>基金备案</w:t>
        </w:r>
        <w:r w:rsidR="008841B6">
          <w:rPr>
            <w:noProof/>
          </w:rPr>
          <w:tab/>
        </w:r>
        <w:r w:rsidR="008841B6">
          <w:rPr>
            <w:noProof/>
          </w:rPr>
          <w:fldChar w:fldCharType="begin"/>
        </w:r>
        <w:r w:rsidR="008841B6">
          <w:rPr>
            <w:noProof/>
          </w:rPr>
          <w:instrText xml:space="preserve"> PAGEREF _Toc256000004 \h </w:instrText>
        </w:r>
        <w:r w:rsidR="008841B6">
          <w:rPr>
            <w:noProof/>
          </w:rPr>
        </w:r>
        <w:r w:rsidR="008841B6">
          <w:rPr>
            <w:noProof/>
          </w:rPr>
          <w:fldChar w:fldCharType="separate"/>
        </w:r>
        <w:r w:rsidR="002C65C7">
          <w:rPr>
            <w:noProof/>
          </w:rPr>
          <w:t>12</w:t>
        </w:r>
        <w:r w:rsidR="008841B6">
          <w:rPr>
            <w:noProof/>
          </w:rPr>
          <w:fldChar w:fldCharType="end"/>
        </w:r>
      </w:hyperlink>
    </w:p>
    <w:p w14:paraId="303D9430" w14:textId="49DB4B37" w:rsidR="001D5D72" w:rsidRDefault="00766B00">
      <w:pPr>
        <w:pStyle w:val="11"/>
        <w:rPr>
          <w:rFonts w:asciiTheme="minorHAnsi" w:hAnsiTheme="minorHAnsi"/>
          <w:noProof/>
        </w:rPr>
      </w:pPr>
      <w:hyperlink w:anchor="_Toc256000005" w:history="1">
        <w:r w:rsidR="008841B6">
          <w:rPr>
            <w:rStyle w:val="af5"/>
            <w:noProof/>
          </w:rPr>
          <w:t>第六部分</w:t>
        </w:r>
        <w:r w:rsidR="008841B6">
          <w:rPr>
            <w:rStyle w:val="af5"/>
            <w:noProof/>
          </w:rPr>
          <w:t xml:space="preserve">  </w:t>
        </w:r>
        <w:r w:rsidR="008841B6">
          <w:rPr>
            <w:rStyle w:val="af5"/>
            <w:noProof/>
          </w:rPr>
          <w:t>基金份额折算与变更登记</w:t>
        </w:r>
        <w:r w:rsidR="008841B6">
          <w:rPr>
            <w:noProof/>
          </w:rPr>
          <w:tab/>
        </w:r>
        <w:r w:rsidR="008841B6">
          <w:rPr>
            <w:noProof/>
          </w:rPr>
          <w:fldChar w:fldCharType="begin"/>
        </w:r>
        <w:r w:rsidR="008841B6">
          <w:rPr>
            <w:noProof/>
          </w:rPr>
          <w:instrText xml:space="preserve"> PAGEREF _Toc256000005 \h </w:instrText>
        </w:r>
        <w:r w:rsidR="008841B6">
          <w:rPr>
            <w:noProof/>
          </w:rPr>
        </w:r>
        <w:r w:rsidR="008841B6">
          <w:rPr>
            <w:noProof/>
          </w:rPr>
          <w:fldChar w:fldCharType="separate"/>
        </w:r>
        <w:r w:rsidR="002C65C7">
          <w:rPr>
            <w:noProof/>
          </w:rPr>
          <w:t>14</w:t>
        </w:r>
        <w:r w:rsidR="008841B6">
          <w:rPr>
            <w:noProof/>
          </w:rPr>
          <w:fldChar w:fldCharType="end"/>
        </w:r>
      </w:hyperlink>
    </w:p>
    <w:p w14:paraId="456AC250" w14:textId="69936191" w:rsidR="001D5D72" w:rsidRDefault="00766B00">
      <w:pPr>
        <w:pStyle w:val="11"/>
        <w:rPr>
          <w:rFonts w:asciiTheme="minorHAnsi" w:hAnsiTheme="minorHAnsi"/>
          <w:noProof/>
        </w:rPr>
      </w:pPr>
      <w:hyperlink w:anchor="_Toc256000006" w:history="1">
        <w:r w:rsidR="008841B6">
          <w:rPr>
            <w:rStyle w:val="af5"/>
            <w:noProof/>
          </w:rPr>
          <w:t>第七部分</w:t>
        </w:r>
        <w:r w:rsidR="008841B6">
          <w:rPr>
            <w:rStyle w:val="af5"/>
            <w:noProof/>
          </w:rPr>
          <w:t xml:space="preserve">  </w:t>
        </w:r>
        <w:r w:rsidR="008841B6">
          <w:rPr>
            <w:rStyle w:val="af5"/>
            <w:noProof/>
          </w:rPr>
          <w:t>基金份额的上市交易</w:t>
        </w:r>
        <w:r w:rsidR="008841B6">
          <w:rPr>
            <w:noProof/>
          </w:rPr>
          <w:tab/>
        </w:r>
        <w:r w:rsidR="008841B6">
          <w:rPr>
            <w:noProof/>
          </w:rPr>
          <w:fldChar w:fldCharType="begin"/>
        </w:r>
        <w:r w:rsidR="008841B6">
          <w:rPr>
            <w:noProof/>
          </w:rPr>
          <w:instrText xml:space="preserve"> PAGEREF _Toc256000006 \h </w:instrText>
        </w:r>
        <w:r w:rsidR="008841B6">
          <w:rPr>
            <w:noProof/>
          </w:rPr>
        </w:r>
        <w:r w:rsidR="008841B6">
          <w:rPr>
            <w:noProof/>
          </w:rPr>
          <w:fldChar w:fldCharType="separate"/>
        </w:r>
        <w:r w:rsidR="002C65C7">
          <w:rPr>
            <w:noProof/>
          </w:rPr>
          <w:t>15</w:t>
        </w:r>
        <w:r w:rsidR="008841B6">
          <w:rPr>
            <w:noProof/>
          </w:rPr>
          <w:fldChar w:fldCharType="end"/>
        </w:r>
      </w:hyperlink>
    </w:p>
    <w:p w14:paraId="2BAD5ED7" w14:textId="2C77F58E" w:rsidR="001D5D72" w:rsidRDefault="00766B00">
      <w:pPr>
        <w:pStyle w:val="11"/>
        <w:rPr>
          <w:rFonts w:asciiTheme="minorHAnsi" w:hAnsiTheme="minorHAnsi"/>
          <w:noProof/>
        </w:rPr>
      </w:pPr>
      <w:hyperlink w:anchor="_Toc256000007" w:history="1">
        <w:r w:rsidR="008841B6">
          <w:rPr>
            <w:rStyle w:val="af5"/>
            <w:noProof/>
          </w:rPr>
          <w:t>第八部分</w:t>
        </w:r>
        <w:r w:rsidR="008841B6">
          <w:rPr>
            <w:rStyle w:val="af5"/>
            <w:noProof/>
          </w:rPr>
          <w:t xml:space="preserve">  </w:t>
        </w:r>
        <w:r w:rsidR="008841B6">
          <w:rPr>
            <w:rStyle w:val="af5"/>
            <w:noProof/>
          </w:rPr>
          <w:t>基金份额的申购与赎回</w:t>
        </w:r>
        <w:r w:rsidR="008841B6">
          <w:rPr>
            <w:noProof/>
          </w:rPr>
          <w:tab/>
        </w:r>
        <w:r w:rsidR="008841B6">
          <w:rPr>
            <w:noProof/>
          </w:rPr>
          <w:fldChar w:fldCharType="begin"/>
        </w:r>
        <w:r w:rsidR="008841B6">
          <w:rPr>
            <w:noProof/>
          </w:rPr>
          <w:instrText xml:space="preserve"> PAGEREF _Toc256000007 \h </w:instrText>
        </w:r>
        <w:r w:rsidR="008841B6">
          <w:rPr>
            <w:noProof/>
          </w:rPr>
        </w:r>
        <w:r w:rsidR="008841B6">
          <w:rPr>
            <w:noProof/>
          </w:rPr>
          <w:fldChar w:fldCharType="separate"/>
        </w:r>
        <w:r w:rsidR="002C65C7">
          <w:rPr>
            <w:noProof/>
          </w:rPr>
          <w:t>17</w:t>
        </w:r>
        <w:r w:rsidR="008841B6">
          <w:rPr>
            <w:noProof/>
          </w:rPr>
          <w:fldChar w:fldCharType="end"/>
        </w:r>
      </w:hyperlink>
    </w:p>
    <w:p w14:paraId="351C2789" w14:textId="4B5FCDF1" w:rsidR="001D5D72" w:rsidRDefault="00766B00">
      <w:pPr>
        <w:pStyle w:val="11"/>
        <w:rPr>
          <w:rFonts w:asciiTheme="minorHAnsi" w:hAnsiTheme="minorHAnsi"/>
          <w:noProof/>
        </w:rPr>
      </w:pPr>
      <w:hyperlink w:anchor="_Toc256000008" w:history="1">
        <w:r w:rsidR="008841B6">
          <w:rPr>
            <w:rStyle w:val="af5"/>
            <w:noProof/>
          </w:rPr>
          <w:t>第九部分</w:t>
        </w:r>
        <w:r w:rsidR="008841B6">
          <w:rPr>
            <w:rStyle w:val="af5"/>
            <w:noProof/>
          </w:rPr>
          <w:t xml:space="preserve">  </w:t>
        </w:r>
        <w:r w:rsidR="008841B6">
          <w:rPr>
            <w:rStyle w:val="af5"/>
            <w:noProof/>
          </w:rPr>
          <w:t>基金合同当事人及权利义务</w:t>
        </w:r>
        <w:r w:rsidR="008841B6">
          <w:rPr>
            <w:noProof/>
          </w:rPr>
          <w:tab/>
        </w:r>
        <w:r w:rsidR="008841B6">
          <w:rPr>
            <w:noProof/>
          </w:rPr>
          <w:fldChar w:fldCharType="begin"/>
        </w:r>
        <w:r w:rsidR="008841B6">
          <w:rPr>
            <w:noProof/>
          </w:rPr>
          <w:instrText xml:space="preserve"> PAGEREF _Toc256000008 \h </w:instrText>
        </w:r>
        <w:r w:rsidR="008841B6">
          <w:rPr>
            <w:noProof/>
          </w:rPr>
        </w:r>
        <w:r w:rsidR="008841B6">
          <w:rPr>
            <w:noProof/>
          </w:rPr>
          <w:fldChar w:fldCharType="separate"/>
        </w:r>
        <w:r w:rsidR="002C65C7">
          <w:rPr>
            <w:noProof/>
          </w:rPr>
          <w:t>25</w:t>
        </w:r>
        <w:r w:rsidR="008841B6">
          <w:rPr>
            <w:noProof/>
          </w:rPr>
          <w:fldChar w:fldCharType="end"/>
        </w:r>
      </w:hyperlink>
    </w:p>
    <w:p w14:paraId="14258CE9" w14:textId="1F175BDC" w:rsidR="001D5D72" w:rsidRDefault="00766B00">
      <w:pPr>
        <w:pStyle w:val="11"/>
        <w:rPr>
          <w:rFonts w:asciiTheme="minorHAnsi" w:hAnsiTheme="minorHAnsi"/>
          <w:noProof/>
        </w:rPr>
      </w:pPr>
      <w:hyperlink w:anchor="_Toc256000009" w:history="1">
        <w:r w:rsidR="008841B6">
          <w:rPr>
            <w:rStyle w:val="af5"/>
            <w:noProof/>
          </w:rPr>
          <w:t>第十部分</w:t>
        </w:r>
        <w:r w:rsidR="008841B6">
          <w:rPr>
            <w:rStyle w:val="af5"/>
            <w:noProof/>
          </w:rPr>
          <w:t xml:space="preserve">  </w:t>
        </w:r>
        <w:r w:rsidR="008841B6">
          <w:rPr>
            <w:rStyle w:val="af5"/>
            <w:noProof/>
          </w:rPr>
          <w:t>基金份额持有人大会</w:t>
        </w:r>
        <w:r w:rsidR="008841B6">
          <w:rPr>
            <w:noProof/>
          </w:rPr>
          <w:tab/>
        </w:r>
        <w:r w:rsidR="008841B6">
          <w:rPr>
            <w:noProof/>
          </w:rPr>
          <w:fldChar w:fldCharType="begin"/>
        </w:r>
        <w:r w:rsidR="008841B6">
          <w:rPr>
            <w:noProof/>
          </w:rPr>
          <w:instrText xml:space="preserve"> PAGEREF _Toc256000009 \h </w:instrText>
        </w:r>
        <w:r w:rsidR="008841B6">
          <w:rPr>
            <w:noProof/>
          </w:rPr>
        </w:r>
        <w:r w:rsidR="008841B6">
          <w:rPr>
            <w:noProof/>
          </w:rPr>
          <w:fldChar w:fldCharType="separate"/>
        </w:r>
        <w:r w:rsidR="002C65C7">
          <w:rPr>
            <w:noProof/>
          </w:rPr>
          <w:t>33</w:t>
        </w:r>
        <w:r w:rsidR="008841B6">
          <w:rPr>
            <w:noProof/>
          </w:rPr>
          <w:fldChar w:fldCharType="end"/>
        </w:r>
      </w:hyperlink>
    </w:p>
    <w:p w14:paraId="7F9B8DD3" w14:textId="52384315" w:rsidR="001D5D72" w:rsidRDefault="00766B00">
      <w:pPr>
        <w:pStyle w:val="11"/>
        <w:rPr>
          <w:rFonts w:asciiTheme="minorHAnsi" w:hAnsiTheme="minorHAnsi"/>
          <w:noProof/>
        </w:rPr>
      </w:pPr>
      <w:hyperlink w:anchor="_Toc256000010" w:history="1">
        <w:r w:rsidR="008841B6">
          <w:rPr>
            <w:rStyle w:val="af5"/>
            <w:noProof/>
          </w:rPr>
          <w:t>第十一部分</w:t>
        </w:r>
        <w:r w:rsidR="008841B6">
          <w:rPr>
            <w:rStyle w:val="af5"/>
            <w:noProof/>
          </w:rPr>
          <w:t xml:space="preserve">  </w:t>
        </w:r>
        <w:r w:rsidR="008841B6">
          <w:rPr>
            <w:rStyle w:val="af5"/>
            <w:noProof/>
          </w:rPr>
          <w:t>基金管理人、基金托管人的更换条件和程序</w:t>
        </w:r>
        <w:r w:rsidR="008841B6">
          <w:rPr>
            <w:noProof/>
          </w:rPr>
          <w:tab/>
        </w:r>
        <w:r w:rsidR="008841B6">
          <w:rPr>
            <w:noProof/>
          </w:rPr>
          <w:fldChar w:fldCharType="begin"/>
        </w:r>
        <w:r w:rsidR="008841B6">
          <w:rPr>
            <w:noProof/>
          </w:rPr>
          <w:instrText xml:space="preserve"> PAGEREF _Toc256000010 \h </w:instrText>
        </w:r>
        <w:r w:rsidR="008841B6">
          <w:rPr>
            <w:noProof/>
          </w:rPr>
        </w:r>
        <w:r w:rsidR="008841B6">
          <w:rPr>
            <w:noProof/>
          </w:rPr>
          <w:fldChar w:fldCharType="separate"/>
        </w:r>
        <w:r w:rsidR="002C65C7">
          <w:rPr>
            <w:noProof/>
          </w:rPr>
          <w:t>42</w:t>
        </w:r>
        <w:r w:rsidR="008841B6">
          <w:rPr>
            <w:noProof/>
          </w:rPr>
          <w:fldChar w:fldCharType="end"/>
        </w:r>
      </w:hyperlink>
    </w:p>
    <w:p w14:paraId="0D9CC6ED" w14:textId="66B670E2" w:rsidR="001D5D72" w:rsidRDefault="00766B00">
      <w:pPr>
        <w:pStyle w:val="11"/>
        <w:rPr>
          <w:rFonts w:asciiTheme="minorHAnsi" w:hAnsiTheme="minorHAnsi"/>
          <w:noProof/>
        </w:rPr>
      </w:pPr>
      <w:hyperlink w:anchor="_Toc256000011" w:history="1">
        <w:r w:rsidR="008841B6">
          <w:rPr>
            <w:rStyle w:val="af5"/>
            <w:noProof/>
          </w:rPr>
          <w:t>第十二部分</w:t>
        </w:r>
        <w:r w:rsidR="008841B6">
          <w:rPr>
            <w:rStyle w:val="af5"/>
            <w:noProof/>
          </w:rPr>
          <w:t xml:space="preserve">  </w:t>
        </w:r>
        <w:r w:rsidR="008841B6">
          <w:rPr>
            <w:rStyle w:val="af5"/>
            <w:noProof/>
          </w:rPr>
          <w:t>基金的托管</w:t>
        </w:r>
        <w:r w:rsidR="008841B6">
          <w:rPr>
            <w:noProof/>
          </w:rPr>
          <w:tab/>
        </w:r>
        <w:r w:rsidR="008841B6">
          <w:rPr>
            <w:noProof/>
          </w:rPr>
          <w:fldChar w:fldCharType="begin"/>
        </w:r>
        <w:r w:rsidR="008841B6">
          <w:rPr>
            <w:noProof/>
          </w:rPr>
          <w:instrText xml:space="preserve"> PAGEREF _Toc256000011 \h </w:instrText>
        </w:r>
        <w:r w:rsidR="008841B6">
          <w:rPr>
            <w:noProof/>
          </w:rPr>
        </w:r>
        <w:r w:rsidR="008841B6">
          <w:rPr>
            <w:noProof/>
          </w:rPr>
          <w:fldChar w:fldCharType="separate"/>
        </w:r>
        <w:r w:rsidR="002C65C7">
          <w:rPr>
            <w:noProof/>
          </w:rPr>
          <w:t>45</w:t>
        </w:r>
        <w:r w:rsidR="008841B6">
          <w:rPr>
            <w:noProof/>
          </w:rPr>
          <w:fldChar w:fldCharType="end"/>
        </w:r>
      </w:hyperlink>
    </w:p>
    <w:p w14:paraId="52881B88" w14:textId="50AE954F" w:rsidR="001D5D72" w:rsidRDefault="00766B00">
      <w:pPr>
        <w:pStyle w:val="11"/>
        <w:rPr>
          <w:rFonts w:asciiTheme="minorHAnsi" w:hAnsiTheme="minorHAnsi"/>
          <w:noProof/>
        </w:rPr>
      </w:pPr>
      <w:hyperlink w:anchor="_Toc256000012" w:history="1">
        <w:r w:rsidR="008841B6">
          <w:rPr>
            <w:rStyle w:val="af5"/>
            <w:noProof/>
          </w:rPr>
          <w:t>第十三部分</w:t>
        </w:r>
        <w:r w:rsidR="008841B6">
          <w:rPr>
            <w:rStyle w:val="af5"/>
            <w:noProof/>
          </w:rPr>
          <w:t xml:space="preserve">  </w:t>
        </w:r>
        <w:r w:rsidR="008841B6">
          <w:rPr>
            <w:rStyle w:val="af5"/>
            <w:noProof/>
          </w:rPr>
          <w:t>基金份额的登</w:t>
        </w:r>
        <w:bookmarkStart w:id="35" w:name="_GoBack"/>
        <w:bookmarkEnd w:id="35"/>
        <w:r w:rsidR="008841B6">
          <w:rPr>
            <w:rStyle w:val="af5"/>
            <w:noProof/>
          </w:rPr>
          <w:t>记</w:t>
        </w:r>
        <w:r w:rsidR="008841B6">
          <w:rPr>
            <w:noProof/>
          </w:rPr>
          <w:tab/>
        </w:r>
        <w:r w:rsidR="008841B6">
          <w:rPr>
            <w:noProof/>
          </w:rPr>
          <w:fldChar w:fldCharType="begin"/>
        </w:r>
        <w:r w:rsidR="008841B6">
          <w:rPr>
            <w:noProof/>
          </w:rPr>
          <w:instrText xml:space="preserve"> PAGEREF _Toc256000012 \h </w:instrText>
        </w:r>
        <w:r w:rsidR="008841B6">
          <w:rPr>
            <w:noProof/>
          </w:rPr>
        </w:r>
        <w:r w:rsidR="008841B6">
          <w:rPr>
            <w:noProof/>
          </w:rPr>
          <w:fldChar w:fldCharType="separate"/>
        </w:r>
        <w:r w:rsidR="002C65C7">
          <w:rPr>
            <w:noProof/>
          </w:rPr>
          <w:t>46</w:t>
        </w:r>
        <w:r w:rsidR="008841B6">
          <w:rPr>
            <w:noProof/>
          </w:rPr>
          <w:fldChar w:fldCharType="end"/>
        </w:r>
      </w:hyperlink>
    </w:p>
    <w:p w14:paraId="4A951B67" w14:textId="04C380A7" w:rsidR="001D5D72" w:rsidRDefault="00766B00">
      <w:pPr>
        <w:pStyle w:val="11"/>
        <w:rPr>
          <w:rFonts w:asciiTheme="minorHAnsi" w:hAnsiTheme="minorHAnsi"/>
          <w:noProof/>
        </w:rPr>
      </w:pPr>
      <w:hyperlink w:anchor="_Toc256000013" w:history="1">
        <w:r w:rsidR="008841B6">
          <w:rPr>
            <w:rStyle w:val="af5"/>
            <w:noProof/>
          </w:rPr>
          <w:t>第十四部分</w:t>
        </w:r>
        <w:r w:rsidR="008841B6">
          <w:rPr>
            <w:rStyle w:val="af5"/>
            <w:noProof/>
          </w:rPr>
          <w:t xml:space="preserve">  </w:t>
        </w:r>
        <w:r w:rsidR="008841B6">
          <w:rPr>
            <w:rStyle w:val="af5"/>
            <w:noProof/>
          </w:rPr>
          <w:t>基金的投资</w:t>
        </w:r>
        <w:r w:rsidR="008841B6">
          <w:rPr>
            <w:noProof/>
          </w:rPr>
          <w:tab/>
        </w:r>
        <w:r w:rsidR="008841B6">
          <w:rPr>
            <w:noProof/>
          </w:rPr>
          <w:fldChar w:fldCharType="begin"/>
        </w:r>
        <w:r w:rsidR="008841B6">
          <w:rPr>
            <w:noProof/>
          </w:rPr>
          <w:instrText xml:space="preserve"> PAGEREF _Toc256000013 \h </w:instrText>
        </w:r>
        <w:r w:rsidR="008841B6">
          <w:rPr>
            <w:noProof/>
          </w:rPr>
        </w:r>
        <w:r w:rsidR="008841B6">
          <w:rPr>
            <w:noProof/>
          </w:rPr>
          <w:fldChar w:fldCharType="separate"/>
        </w:r>
        <w:r w:rsidR="002C65C7">
          <w:rPr>
            <w:noProof/>
          </w:rPr>
          <w:t>48</w:t>
        </w:r>
        <w:r w:rsidR="008841B6">
          <w:rPr>
            <w:noProof/>
          </w:rPr>
          <w:fldChar w:fldCharType="end"/>
        </w:r>
      </w:hyperlink>
    </w:p>
    <w:p w14:paraId="554926F1" w14:textId="258D61AA" w:rsidR="001D5D72" w:rsidRDefault="00766B00">
      <w:pPr>
        <w:pStyle w:val="11"/>
        <w:rPr>
          <w:rFonts w:asciiTheme="minorHAnsi" w:hAnsiTheme="minorHAnsi"/>
          <w:noProof/>
        </w:rPr>
      </w:pPr>
      <w:hyperlink w:anchor="_Toc256000014" w:history="1">
        <w:r w:rsidR="008841B6">
          <w:rPr>
            <w:rStyle w:val="af5"/>
            <w:noProof/>
          </w:rPr>
          <w:t>第十五部分</w:t>
        </w:r>
        <w:r w:rsidR="008841B6">
          <w:rPr>
            <w:rStyle w:val="af5"/>
            <w:noProof/>
          </w:rPr>
          <w:t xml:space="preserve">  </w:t>
        </w:r>
        <w:r w:rsidR="008841B6">
          <w:rPr>
            <w:rStyle w:val="af5"/>
            <w:noProof/>
          </w:rPr>
          <w:t>基金的财产</w:t>
        </w:r>
        <w:r w:rsidR="008841B6">
          <w:rPr>
            <w:noProof/>
          </w:rPr>
          <w:tab/>
        </w:r>
        <w:r w:rsidR="008841B6">
          <w:rPr>
            <w:noProof/>
          </w:rPr>
          <w:fldChar w:fldCharType="begin"/>
        </w:r>
        <w:r w:rsidR="008841B6">
          <w:rPr>
            <w:noProof/>
          </w:rPr>
          <w:instrText xml:space="preserve"> PAGEREF _Toc256000014 \h </w:instrText>
        </w:r>
        <w:r w:rsidR="008841B6">
          <w:rPr>
            <w:noProof/>
          </w:rPr>
        </w:r>
        <w:r w:rsidR="008841B6">
          <w:rPr>
            <w:noProof/>
          </w:rPr>
          <w:fldChar w:fldCharType="separate"/>
        </w:r>
        <w:r w:rsidR="002C65C7">
          <w:rPr>
            <w:noProof/>
          </w:rPr>
          <w:t>56</w:t>
        </w:r>
        <w:r w:rsidR="008841B6">
          <w:rPr>
            <w:noProof/>
          </w:rPr>
          <w:fldChar w:fldCharType="end"/>
        </w:r>
      </w:hyperlink>
    </w:p>
    <w:p w14:paraId="7267D44C" w14:textId="62F1DB69" w:rsidR="001D5D72" w:rsidRDefault="00766B00">
      <w:pPr>
        <w:pStyle w:val="11"/>
        <w:rPr>
          <w:rFonts w:asciiTheme="minorHAnsi" w:hAnsiTheme="minorHAnsi"/>
          <w:noProof/>
        </w:rPr>
      </w:pPr>
      <w:hyperlink w:anchor="_Toc256000015" w:history="1">
        <w:r w:rsidR="008841B6">
          <w:rPr>
            <w:rStyle w:val="af5"/>
            <w:noProof/>
          </w:rPr>
          <w:t>第十六部分</w:t>
        </w:r>
        <w:r w:rsidR="008841B6">
          <w:rPr>
            <w:rStyle w:val="af5"/>
            <w:noProof/>
          </w:rPr>
          <w:t xml:space="preserve">  </w:t>
        </w:r>
        <w:r w:rsidR="008841B6">
          <w:rPr>
            <w:rStyle w:val="af5"/>
            <w:noProof/>
          </w:rPr>
          <w:t>基金资产估值</w:t>
        </w:r>
        <w:r w:rsidR="008841B6">
          <w:rPr>
            <w:noProof/>
          </w:rPr>
          <w:tab/>
        </w:r>
        <w:r w:rsidR="008841B6">
          <w:rPr>
            <w:noProof/>
          </w:rPr>
          <w:fldChar w:fldCharType="begin"/>
        </w:r>
        <w:r w:rsidR="008841B6">
          <w:rPr>
            <w:noProof/>
          </w:rPr>
          <w:instrText xml:space="preserve"> PAGEREF _Toc256000015 \h </w:instrText>
        </w:r>
        <w:r w:rsidR="008841B6">
          <w:rPr>
            <w:noProof/>
          </w:rPr>
        </w:r>
        <w:r w:rsidR="008841B6">
          <w:rPr>
            <w:noProof/>
          </w:rPr>
          <w:fldChar w:fldCharType="separate"/>
        </w:r>
        <w:r w:rsidR="002C65C7">
          <w:rPr>
            <w:noProof/>
          </w:rPr>
          <w:t>57</w:t>
        </w:r>
        <w:r w:rsidR="008841B6">
          <w:rPr>
            <w:noProof/>
          </w:rPr>
          <w:fldChar w:fldCharType="end"/>
        </w:r>
      </w:hyperlink>
    </w:p>
    <w:p w14:paraId="14486544" w14:textId="56C52387" w:rsidR="001D5D72" w:rsidRDefault="00766B00">
      <w:pPr>
        <w:pStyle w:val="11"/>
        <w:rPr>
          <w:rFonts w:asciiTheme="minorHAnsi" w:hAnsiTheme="minorHAnsi"/>
          <w:noProof/>
        </w:rPr>
      </w:pPr>
      <w:hyperlink w:anchor="_Toc256000016" w:history="1">
        <w:r w:rsidR="008841B6">
          <w:rPr>
            <w:rStyle w:val="af5"/>
            <w:noProof/>
          </w:rPr>
          <w:t>第十七部分</w:t>
        </w:r>
        <w:r w:rsidR="008841B6">
          <w:rPr>
            <w:rStyle w:val="af5"/>
            <w:noProof/>
          </w:rPr>
          <w:t xml:space="preserve">  </w:t>
        </w:r>
        <w:r w:rsidR="008841B6">
          <w:rPr>
            <w:rStyle w:val="af5"/>
            <w:noProof/>
          </w:rPr>
          <w:t>基金费用与税收</w:t>
        </w:r>
        <w:r w:rsidR="008841B6">
          <w:rPr>
            <w:noProof/>
          </w:rPr>
          <w:tab/>
        </w:r>
        <w:r w:rsidR="008841B6">
          <w:rPr>
            <w:noProof/>
          </w:rPr>
          <w:fldChar w:fldCharType="begin"/>
        </w:r>
        <w:r w:rsidR="008841B6">
          <w:rPr>
            <w:noProof/>
          </w:rPr>
          <w:instrText xml:space="preserve"> PAGEREF _Toc256000016 \h </w:instrText>
        </w:r>
        <w:r w:rsidR="008841B6">
          <w:rPr>
            <w:noProof/>
          </w:rPr>
        </w:r>
        <w:r w:rsidR="008841B6">
          <w:rPr>
            <w:noProof/>
          </w:rPr>
          <w:fldChar w:fldCharType="separate"/>
        </w:r>
        <w:r w:rsidR="002C65C7">
          <w:rPr>
            <w:noProof/>
          </w:rPr>
          <w:t>63</w:t>
        </w:r>
        <w:r w:rsidR="008841B6">
          <w:rPr>
            <w:noProof/>
          </w:rPr>
          <w:fldChar w:fldCharType="end"/>
        </w:r>
      </w:hyperlink>
    </w:p>
    <w:p w14:paraId="3861ACB5" w14:textId="29515D30" w:rsidR="001D5D72" w:rsidRDefault="00766B00">
      <w:pPr>
        <w:pStyle w:val="11"/>
        <w:rPr>
          <w:rFonts w:asciiTheme="minorHAnsi" w:hAnsiTheme="minorHAnsi"/>
          <w:noProof/>
        </w:rPr>
      </w:pPr>
      <w:hyperlink w:anchor="_Toc256000017" w:history="1">
        <w:r w:rsidR="008841B6">
          <w:rPr>
            <w:rStyle w:val="af5"/>
            <w:noProof/>
          </w:rPr>
          <w:t>第十八部分</w:t>
        </w:r>
        <w:r w:rsidR="008841B6">
          <w:rPr>
            <w:rStyle w:val="af5"/>
            <w:noProof/>
          </w:rPr>
          <w:t xml:space="preserve">  </w:t>
        </w:r>
        <w:r w:rsidR="008841B6">
          <w:rPr>
            <w:rStyle w:val="af5"/>
            <w:noProof/>
          </w:rPr>
          <w:t>基金的收益与分配</w:t>
        </w:r>
        <w:r w:rsidR="008841B6">
          <w:rPr>
            <w:noProof/>
          </w:rPr>
          <w:tab/>
        </w:r>
        <w:r w:rsidR="008841B6">
          <w:rPr>
            <w:noProof/>
          </w:rPr>
          <w:fldChar w:fldCharType="begin"/>
        </w:r>
        <w:r w:rsidR="008841B6">
          <w:rPr>
            <w:noProof/>
          </w:rPr>
          <w:instrText xml:space="preserve"> PAGEREF _Toc256000017 \h </w:instrText>
        </w:r>
        <w:r w:rsidR="008841B6">
          <w:rPr>
            <w:noProof/>
          </w:rPr>
        </w:r>
        <w:r w:rsidR="008841B6">
          <w:rPr>
            <w:noProof/>
          </w:rPr>
          <w:fldChar w:fldCharType="separate"/>
        </w:r>
        <w:r w:rsidR="002C65C7">
          <w:rPr>
            <w:noProof/>
          </w:rPr>
          <w:t>65</w:t>
        </w:r>
        <w:r w:rsidR="008841B6">
          <w:rPr>
            <w:noProof/>
          </w:rPr>
          <w:fldChar w:fldCharType="end"/>
        </w:r>
      </w:hyperlink>
    </w:p>
    <w:p w14:paraId="162B6EC7" w14:textId="4CFA6297" w:rsidR="001D5D72" w:rsidRDefault="00766B00">
      <w:pPr>
        <w:pStyle w:val="11"/>
        <w:rPr>
          <w:rFonts w:asciiTheme="minorHAnsi" w:hAnsiTheme="minorHAnsi"/>
          <w:noProof/>
        </w:rPr>
      </w:pPr>
      <w:hyperlink w:anchor="_Toc256000018" w:history="1">
        <w:r w:rsidR="008841B6">
          <w:rPr>
            <w:rStyle w:val="af5"/>
            <w:noProof/>
          </w:rPr>
          <w:t>第十九部分</w:t>
        </w:r>
        <w:r w:rsidR="008841B6">
          <w:rPr>
            <w:rStyle w:val="af5"/>
            <w:noProof/>
          </w:rPr>
          <w:t xml:space="preserve">  </w:t>
        </w:r>
        <w:r w:rsidR="008841B6">
          <w:rPr>
            <w:rStyle w:val="af5"/>
            <w:noProof/>
          </w:rPr>
          <w:t>基金的会计与审计</w:t>
        </w:r>
        <w:r w:rsidR="008841B6">
          <w:rPr>
            <w:noProof/>
          </w:rPr>
          <w:tab/>
        </w:r>
        <w:r w:rsidR="008841B6">
          <w:rPr>
            <w:noProof/>
          </w:rPr>
          <w:fldChar w:fldCharType="begin"/>
        </w:r>
        <w:r w:rsidR="008841B6">
          <w:rPr>
            <w:noProof/>
          </w:rPr>
          <w:instrText xml:space="preserve"> PAGEREF _Toc256000018 \h </w:instrText>
        </w:r>
        <w:r w:rsidR="008841B6">
          <w:rPr>
            <w:noProof/>
          </w:rPr>
        </w:r>
        <w:r w:rsidR="008841B6">
          <w:rPr>
            <w:noProof/>
          </w:rPr>
          <w:fldChar w:fldCharType="separate"/>
        </w:r>
        <w:r w:rsidR="002C65C7">
          <w:rPr>
            <w:noProof/>
          </w:rPr>
          <w:t>67</w:t>
        </w:r>
        <w:r w:rsidR="008841B6">
          <w:rPr>
            <w:noProof/>
          </w:rPr>
          <w:fldChar w:fldCharType="end"/>
        </w:r>
      </w:hyperlink>
    </w:p>
    <w:p w14:paraId="1B4585A9" w14:textId="24F23882" w:rsidR="001D5D72" w:rsidRDefault="00766B00">
      <w:pPr>
        <w:pStyle w:val="11"/>
        <w:rPr>
          <w:rFonts w:asciiTheme="minorHAnsi" w:hAnsiTheme="minorHAnsi"/>
          <w:noProof/>
        </w:rPr>
      </w:pPr>
      <w:hyperlink w:anchor="_Toc256000019" w:history="1">
        <w:r w:rsidR="008841B6">
          <w:rPr>
            <w:rStyle w:val="af5"/>
            <w:noProof/>
          </w:rPr>
          <w:t>第二十部分</w:t>
        </w:r>
        <w:r w:rsidR="008841B6">
          <w:rPr>
            <w:rStyle w:val="af5"/>
            <w:noProof/>
          </w:rPr>
          <w:t xml:space="preserve">  </w:t>
        </w:r>
        <w:r w:rsidR="008841B6">
          <w:rPr>
            <w:rStyle w:val="af5"/>
            <w:noProof/>
          </w:rPr>
          <w:t>基金的信息披露</w:t>
        </w:r>
        <w:r w:rsidR="008841B6">
          <w:rPr>
            <w:noProof/>
          </w:rPr>
          <w:tab/>
        </w:r>
        <w:r w:rsidR="008841B6">
          <w:rPr>
            <w:noProof/>
          </w:rPr>
          <w:fldChar w:fldCharType="begin"/>
        </w:r>
        <w:r w:rsidR="008841B6">
          <w:rPr>
            <w:noProof/>
          </w:rPr>
          <w:instrText xml:space="preserve"> PAGEREF _Toc256000019 \h </w:instrText>
        </w:r>
        <w:r w:rsidR="008841B6">
          <w:rPr>
            <w:noProof/>
          </w:rPr>
        </w:r>
        <w:r w:rsidR="008841B6">
          <w:rPr>
            <w:noProof/>
          </w:rPr>
          <w:fldChar w:fldCharType="separate"/>
        </w:r>
        <w:r w:rsidR="002C65C7">
          <w:rPr>
            <w:noProof/>
          </w:rPr>
          <w:t>68</w:t>
        </w:r>
        <w:r w:rsidR="008841B6">
          <w:rPr>
            <w:noProof/>
          </w:rPr>
          <w:fldChar w:fldCharType="end"/>
        </w:r>
      </w:hyperlink>
    </w:p>
    <w:p w14:paraId="5525752B" w14:textId="5EEF827C" w:rsidR="001D5D72" w:rsidRDefault="00766B00">
      <w:pPr>
        <w:pStyle w:val="11"/>
        <w:rPr>
          <w:rFonts w:asciiTheme="minorHAnsi" w:hAnsiTheme="minorHAnsi"/>
          <w:noProof/>
        </w:rPr>
      </w:pPr>
      <w:hyperlink w:anchor="_Toc256000020" w:history="1">
        <w:r w:rsidR="008841B6">
          <w:rPr>
            <w:rStyle w:val="af5"/>
            <w:noProof/>
          </w:rPr>
          <w:t>第二十一部分</w:t>
        </w:r>
        <w:r w:rsidR="008841B6">
          <w:rPr>
            <w:rStyle w:val="af5"/>
            <w:noProof/>
          </w:rPr>
          <w:t xml:space="preserve">  </w:t>
        </w:r>
        <w:r w:rsidR="008841B6">
          <w:rPr>
            <w:rStyle w:val="af5"/>
            <w:noProof/>
          </w:rPr>
          <w:t>基金合同的变更、终止与基金财产的清算</w:t>
        </w:r>
        <w:r w:rsidR="008841B6">
          <w:rPr>
            <w:noProof/>
          </w:rPr>
          <w:tab/>
        </w:r>
        <w:r w:rsidR="008841B6">
          <w:rPr>
            <w:noProof/>
          </w:rPr>
          <w:fldChar w:fldCharType="begin"/>
        </w:r>
        <w:r w:rsidR="008841B6">
          <w:rPr>
            <w:noProof/>
          </w:rPr>
          <w:instrText xml:space="preserve"> PAGEREF _Toc256000020 \h </w:instrText>
        </w:r>
        <w:r w:rsidR="008841B6">
          <w:rPr>
            <w:noProof/>
          </w:rPr>
        </w:r>
        <w:r w:rsidR="008841B6">
          <w:rPr>
            <w:noProof/>
          </w:rPr>
          <w:fldChar w:fldCharType="separate"/>
        </w:r>
        <w:r w:rsidR="002C65C7">
          <w:rPr>
            <w:noProof/>
          </w:rPr>
          <w:t>76</w:t>
        </w:r>
        <w:r w:rsidR="008841B6">
          <w:rPr>
            <w:noProof/>
          </w:rPr>
          <w:fldChar w:fldCharType="end"/>
        </w:r>
      </w:hyperlink>
    </w:p>
    <w:p w14:paraId="190CC51F" w14:textId="7EBAB2AE" w:rsidR="001D5D72" w:rsidRDefault="00766B00">
      <w:pPr>
        <w:pStyle w:val="11"/>
        <w:rPr>
          <w:rFonts w:asciiTheme="minorHAnsi" w:hAnsiTheme="minorHAnsi"/>
          <w:noProof/>
        </w:rPr>
      </w:pPr>
      <w:hyperlink w:anchor="_Toc256000021" w:history="1">
        <w:r w:rsidR="008841B6">
          <w:rPr>
            <w:rStyle w:val="af5"/>
            <w:noProof/>
          </w:rPr>
          <w:t>第二十二部分</w:t>
        </w:r>
        <w:r w:rsidR="008841B6">
          <w:rPr>
            <w:rStyle w:val="af5"/>
            <w:noProof/>
          </w:rPr>
          <w:t xml:space="preserve">  </w:t>
        </w:r>
        <w:r w:rsidR="008841B6">
          <w:rPr>
            <w:rStyle w:val="af5"/>
            <w:noProof/>
          </w:rPr>
          <w:t>违约责任</w:t>
        </w:r>
        <w:r w:rsidR="008841B6">
          <w:rPr>
            <w:noProof/>
          </w:rPr>
          <w:tab/>
        </w:r>
        <w:r w:rsidR="008841B6">
          <w:rPr>
            <w:noProof/>
          </w:rPr>
          <w:fldChar w:fldCharType="begin"/>
        </w:r>
        <w:r w:rsidR="008841B6">
          <w:rPr>
            <w:noProof/>
          </w:rPr>
          <w:instrText xml:space="preserve"> PAGEREF _Toc256000021 \h </w:instrText>
        </w:r>
        <w:r w:rsidR="008841B6">
          <w:rPr>
            <w:noProof/>
          </w:rPr>
        </w:r>
        <w:r w:rsidR="008841B6">
          <w:rPr>
            <w:noProof/>
          </w:rPr>
          <w:fldChar w:fldCharType="separate"/>
        </w:r>
        <w:r w:rsidR="002C65C7">
          <w:rPr>
            <w:noProof/>
          </w:rPr>
          <w:t>78</w:t>
        </w:r>
        <w:r w:rsidR="008841B6">
          <w:rPr>
            <w:noProof/>
          </w:rPr>
          <w:fldChar w:fldCharType="end"/>
        </w:r>
      </w:hyperlink>
    </w:p>
    <w:p w14:paraId="19F2E937" w14:textId="6885243C" w:rsidR="001D5D72" w:rsidRDefault="00766B00">
      <w:pPr>
        <w:pStyle w:val="11"/>
        <w:rPr>
          <w:rFonts w:asciiTheme="minorHAnsi" w:hAnsiTheme="minorHAnsi"/>
          <w:noProof/>
        </w:rPr>
      </w:pPr>
      <w:hyperlink w:anchor="_Toc256000022" w:history="1">
        <w:r w:rsidR="008841B6">
          <w:rPr>
            <w:rStyle w:val="af5"/>
            <w:noProof/>
          </w:rPr>
          <w:t>第二十三部分</w:t>
        </w:r>
        <w:r w:rsidR="008841B6">
          <w:rPr>
            <w:rStyle w:val="af5"/>
            <w:noProof/>
          </w:rPr>
          <w:t xml:space="preserve">  </w:t>
        </w:r>
        <w:r w:rsidR="008841B6">
          <w:rPr>
            <w:rStyle w:val="af5"/>
            <w:noProof/>
          </w:rPr>
          <w:t>争议的处理和适用的法律</w:t>
        </w:r>
        <w:r w:rsidR="008841B6">
          <w:rPr>
            <w:noProof/>
          </w:rPr>
          <w:tab/>
        </w:r>
        <w:r w:rsidR="008841B6">
          <w:rPr>
            <w:noProof/>
          </w:rPr>
          <w:fldChar w:fldCharType="begin"/>
        </w:r>
        <w:r w:rsidR="008841B6">
          <w:rPr>
            <w:noProof/>
          </w:rPr>
          <w:instrText xml:space="preserve"> PAGEREF _Toc256000022 \h </w:instrText>
        </w:r>
        <w:r w:rsidR="008841B6">
          <w:rPr>
            <w:noProof/>
          </w:rPr>
        </w:r>
        <w:r w:rsidR="008841B6">
          <w:rPr>
            <w:noProof/>
          </w:rPr>
          <w:fldChar w:fldCharType="separate"/>
        </w:r>
        <w:r w:rsidR="002C65C7">
          <w:rPr>
            <w:noProof/>
          </w:rPr>
          <w:t>79</w:t>
        </w:r>
        <w:r w:rsidR="008841B6">
          <w:rPr>
            <w:noProof/>
          </w:rPr>
          <w:fldChar w:fldCharType="end"/>
        </w:r>
      </w:hyperlink>
    </w:p>
    <w:p w14:paraId="16E9AA3D" w14:textId="6DB03D9C" w:rsidR="001D5D72" w:rsidRDefault="00766B00">
      <w:pPr>
        <w:pStyle w:val="11"/>
        <w:rPr>
          <w:rFonts w:asciiTheme="minorHAnsi" w:hAnsiTheme="minorHAnsi"/>
          <w:noProof/>
        </w:rPr>
      </w:pPr>
      <w:hyperlink w:anchor="_Toc256000023" w:history="1">
        <w:r w:rsidR="008841B6">
          <w:rPr>
            <w:rStyle w:val="af5"/>
            <w:noProof/>
          </w:rPr>
          <w:t>第二十四部分</w:t>
        </w:r>
        <w:r w:rsidR="008841B6">
          <w:rPr>
            <w:rStyle w:val="af5"/>
            <w:noProof/>
          </w:rPr>
          <w:t xml:space="preserve">  </w:t>
        </w:r>
        <w:r w:rsidR="008841B6">
          <w:rPr>
            <w:rStyle w:val="af5"/>
            <w:noProof/>
          </w:rPr>
          <w:t>基金合同的效力</w:t>
        </w:r>
        <w:r w:rsidR="008841B6">
          <w:rPr>
            <w:noProof/>
          </w:rPr>
          <w:tab/>
        </w:r>
        <w:r w:rsidR="008841B6">
          <w:rPr>
            <w:noProof/>
          </w:rPr>
          <w:fldChar w:fldCharType="begin"/>
        </w:r>
        <w:r w:rsidR="008841B6">
          <w:rPr>
            <w:noProof/>
          </w:rPr>
          <w:instrText xml:space="preserve"> PAGEREF _Toc256000023 \h </w:instrText>
        </w:r>
        <w:r w:rsidR="008841B6">
          <w:rPr>
            <w:noProof/>
          </w:rPr>
        </w:r>
        <w:r w:rsidR="008841B6">
          <w:rPr>
            <w:noProof/>
          </w:rPr>
          <w:fldChar w:fldCharType="separate"/>
        </w:r>
        <w:r w:rsidR="002C65C7">
          <w:rPr>
            <w:noProof/>
          </w:rPr>
          <w:t>80</w:t>
        </w:r>
        <w:r w:rsidR="008841B6">
          <w:rPr>
            <w:noProof/>
          </w:rPr>
          <w:fldChar w:fldCharType="end"/>
        </w:r>
      </w:hyperlink>
    </w:p>
    <w:p w14:paraId="1D34B609" w14:textId="1AC0E2B6" w:rsidR="001D5D72" w:rsidRDefault="00766B00">
      <w:pPr>
        <w:pStyle w:val="11"/>
        <w:rPr>
          <w:rFonts w:asciiTheme="minorHAnsi" w:hAnsiTheme="minorHAnsi"/>
          <w:noProof/>
        </w:rPr>
      </w:pPr>
      <w:hyperlink w:anchor="_Toc256000024" w:history="1">
        <w:r w:rsidR="008841B6">
          <w:rPr>
            <w:rStyle w:val="af5"/>
            <w:noProof/>
          </w:rPr>
          <w:t>第二十五部分</w:t>
        </w:r>
        <w:r w:rsidR="008841B6">
          <w:rPr>
            <w:rStyle w:val="af5"/>
            <w:noProof/>
          </w:rPr>
          <w:t xml:space="preserve">  </w:t>
        </w:r>
        <w:r w:rsidR="008841B6">
          <w:rPr>
            <w:rStyle w:val="af5"/>
            <w:noProof/>
          </w:rPr>
          <w:t>其他事项</w:t>
        </w:r>
        <w:r w:rsidR="008841B6">
          <w:rPr>
            <w:noProof/>
          </w:rPr>
          <w:tab/>
        </w:r>
        <w:r w:rsidR="008841B6">
          <w:rPr>
            <w:noProof/>
          </w:rPr>
          <w:fldChar w:fldCharType="begin"/>
        </w:r>
        <w:r w:rsidR="008841B6">
          <w:rPr>
            <w:noProof/>
          </w:rPr>
          <w:instrText xml:space="preserve"> PAGEREF _Toc256000024 \h </w:instrText>
        </w:r>
        <w:r w:rsidR="008841B6">
          <w:rPr>
            <w:noProof/>
          </w:rPr>
        </w:r>
        <w:r w:rsidR="008841B6">
          <w:rPr>
            <w:noProof/>
          </w:rPr>
          <w:fldChar w:fldCharType="separate"/>
        </w:r>
        <w:r w:rsidR="002C65C7">
          <w:rPr>
            <w:noProof/>
          </w:rPr>
          <w:t>81</w:t>
        </w:r>
        <w:r w:rsidR="008841B6">
          <w:rPr>
            <w:noProof/>
          </w:rPr>
          <w:fldChar w:fldCharType="end"/>
        </w:r>
      </w:hyperlink>
    </w:p>
    <w:p w14:paraId="0A3842E0" w14:textId="700F8730" w:rsidR="001D5D72" w:rsidRDefault="00766B00">
      <w:pPr>
        <w:pStyle w:val="11"/>
        <w:rPr>
          <w:rFonts w:asciiTheme="minorHAnsi" w:hAnsiTheme="minorHAnsi"/>
          <w:noProof/>
        </w:rPr>
      </w:pPr>
      <w:hyperlink w:anchor="_Toc256000025" w:history="1">
        <w:r w:rsidR="008841B6">
          <w:rPr>
            <w:rStyle w:val="af5"/>
            <w:noProof/>
          </w:rPr>
          <w:t>第二十六部分</w:t>
        </w:r>
        <w:r w:rsidR="008841B6">
          <w:rPr>
            <w:rStyle w:val="af5"/>
            <w:noProof/>
          </w:rPr>
          <w:t xml:space="preserve">  </w:t>
        </w:r>
        <w:r w:rsidR="008841B6">
          <w:rPr>
            <w:rStyle w:val="af5"/>
            <w:noProof/>
          </w:rPr>
          <w:t>基金合同内容摘要</w:t>
        </w:r>
        <w:r w:rsidR="008841B6">
          <w:rPr>
            <w:noProof/>
          </w:rPr>
          <w:tab/>
        </w:r>
        <w:r w:rsidR="008841B6">
          <w:rPr>
            <w:noProof/>
          </w:rPr>
          <w:fldChar w:fldCharType="begin"/>
        </w:r>
        <w:r w:rsidR="008841B6">
          <w:rPr>
            <w:noProof/>
          </w:rPr>
          <w:instrText xml:space="preserve"> PAGEREF _Toc256000025 \h </w:instrText>
        </w:r>
        <w:r w:rsidR="008841B6">
          <w:rPr>
            <w:noProof/>
          </w:rPr>
        </w:r>
        <w:r w:rsidR="008841B6">
          <w:rPr>
            <w:noProof/>
          </w:rPr>
          <w:fldChar w:fldCharType="separate"/>
        </w:r>
        <w:r w:rsidR="002C65C7">
          <w:rPr>
            <w:noProof/>
          </w:rPr>
          <w:t>82</w:t>
        </w:r>
        <w:r w:rsidR="008841B6">
          <w:rPr>
            <w:noProof/>
          </w:rPr>
          <w:fldChar w:fldCharType="end"/>
        </w:r>
      </w:hyperlink>
    </w:p>
    <w:p w14:paraId="2B6A496B" w14:textId="77777777" w:rsidR="006D7D7F" w:rsidRDefault="008841B6">
      <w:pPr>
        <w:jc w:val="left"/>
        <w:rPr>
          <w:rStyle w:val="read"/>
          <w:rFonts w:ascii="宋体" w:hAnsi="宋体" w:cs="宋体"/>
          <w:b/>
          <w:sz w:val="24"/>
        </w:rPr>
        <w:sectPr w:rsidR="006D7D7F">
          <w:headerReference w:type="default" r:id="rId10"/>
          <w:footerReference w:type="default" r:id="rId11"/>
          <w:pgSz w:w="11906" w:h="16838"/>
          <w:pgMar w:top="1440" w:right="1800" w:bottom="1440" w:left="1800" w:header="851" w:footer="992" w:gutter="0"/>
          <w:pgNumType w:start="1"/>
          <w:cols w:space="720"/>
          <w:docGrid w:type="lines" w:linePitch="312"/>
        </w:sectPr>
      </w:pPr>
      <w:r>
        <w:rPr>
          <w:rStyle w:val="read"/>
          <w:rFonts w:ascii="宋体" w:hAnsi="宋体" w:cs="宋体"/>
          <w:b/>
          <w:sz w:val="24"/>
        </w:rPr>
        <w:fldChar w:fldCharType="end"/>
      </w:r>
      <w:bookmarkStart w:id="36" w:name="_Toc11660"/>
      <w:bookmarkStart w:id="37" w:name="_Toc2163435"/>
      <w:bookmarkStart w:id="38" w:name="_Toc452127896"/>
    </w:p>
    <w:p w14:paraId="278F50A2" w14:textId="77777777" w:rsidR="006D7D7F" w:rsidRDefault="008841B6">
      <w:pPr>
        <w:pStyle w:val="1"/>
        <w:spacing w:before="0" w:after="0"/>
        <w:jc w:val="center"/>
        <w:rPr>
          <w:rFonts w:ascii="Times New Roman"/>
          <w:color w:val="auto"/>
          <w:sz w:val="30"/>
        </w:rPr>
      </w:pPr>
      <w:bookmarkStart w:id="39" w:name="_Toc139991731"/>
      <w:bookmarkStart w:id="40" w:name="_Toc25600000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6"/>
      <w:bookmarkEnd w:id="37"/>
      <w:bookmarkEnd w:id="38"/>
      <w:bookmarkEnd w:id="39"/>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40"/>
    </w:p>
    <w:p w14:paraId="40152A9F" w14:textId="77777777" w:rsidR="006D7D7F" w:rsidRDefault="006D7D7F"/>
    <w:p w14:paraId="0710F27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订立本基金合同的目的、依据和原则</w:t>
      </w:r>
    </w:p>
    <w:p w14:paraId="3031F3B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14:paraId="075F16A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有关法律法规。</w:t>
      </w:r>
    </w:p>
    <w:p w14:paraId="65F4215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14:paraId="61AED97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BD8CD0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73E142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proofErr w:type="gramStart"/>
      <w:r>
        <w:rPr>
          <w:rStyle w:val="custom"/>
          <w:rFonts w:ascii="宋体" w:hAnsi="宋体" w:cs="宋体"/>
          <w:kern w:val="0"/>
          <w:sz w:val="24"/>
          <w:szCs w:val="24"/>
        </w:rPr>
        <w:t>汇添富国证价值</w:t>
      </w:r>
      <w:proofErr w:type="gramEnd"/>
      <w:r>
        <w:rPr>
          <w:rStyle w:val="custom"/>
          <w:rFonts w:ascii="宋体" w:hAnsi="宋体" w:cs="宋体"/>
          <w:kern w:val="0"/>
          <w:sz w:val="24"/>
          <w:szCs w:val="24"/>
        </w:rPr>
        <w:t>100交易型开放式指数证券投资基金</w:t>
      </w:r>
      <w:r>
        <w:rPr>
          <w:rFonts w:ascii="宋体" w:hAnsi="宋体" w:cs="宋体"/>
          <w:kern w:val="0"/>
          <w:sz w:val="24"/>
          <w:szCs w:val="24"/>
        </w:rPr>
        <w:t>由基金管理人依照《基金法》、基金合同及其他有关规定募集，并经中国证券监督管理委员会(以下简称“中国证监会”)注册。</w:t>
      </w:r>
    </w:p>
    <w:p w14:paraId="4398061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中国证监会对本基金募集的注册，并不表明其对本基金的投资价值和市场前景做出实质性判断或保证，也不表明投资于本基金没有风险。</w:t>
      </w:r>
    </w:p>
    <w:p w14:paraId="3A2F809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4B651CF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lastRenderedPageBreak/>
        <w:t>投资者应当认真阅读基金招募说明书、基金合同、基金产品资料概要等信息披露文件，自主判断基金的投资价值，自主做出投资决策，自行承担投资风险。</w:t>
      </w:r>
    </w:p>
    <w:p w14:paraId="0113F53D"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14:paraId="75B3D4A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w:t>
      </w:r>
      <w:proofErr w:type="gramStart"/>
      <w:r>
        <w:rPr>
          <w:rFonts w:ascii="宋体" w:hAnsi="宋体" w:cs="宋体"/>
          <w:kern w:val="0"/>
          <w:sz w:val="24"/>
          <w:szCs w:val="24"/>
        </w:rPr>
        <w:t>若基金</w:t>
      </w:r>
      <w:proofErr w:type="gramEnd"/>
      <w:r>
        <w:rPr>
          <w:rFonts w:ascii="宋体" w:hAnsi="宋体" w:cs="宋体"/>
          <w:kern w:val="0"/>
          <w:sz w:val="24"/>
          <w:szCs w:val="24"/>
        </w:rPr>
        <w:t>合同的内容与届时有效的法律法规的强制性规定不一致，应当以届时有效的法律法规的规定为准。</w:t>
      </w:r>
    </w:p>
    <w:p w14:paraId="0EF25DBF"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六、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w:t>
      </w:r>
      <w:proofErr w:type="gramStart"/>
      <w:r>
        <w:rPr>
          <w:rStyle w:val="custom"/>
          <w:rFonts w:ascii="宋体" w:hAnsi="宋体" w:cs="宋体"/>
          <w:kern w:val="0"/>
          <w:sz w:val="24"/>
          <w:szCs w:val="24"/>
        </w:rPr>
        <w:t>市风险</w:t>
      </w:r>
      <w:proofErr w:type="gramEnd"/>
      <w:r>
        <w:rPr>
          <w:rStyle w:val="custom"/>
          <w:rFonts w:ascii="宋体" w:hAnsi="宋体" w:cs="宋体"/>
          <w:kern w:val="0"/>
          <w:sz w:val="24"/>
          <w:szCs w:val="24"/>
        </w:rPr>
        <w:t>等其他风险。</w:t>
      </w:r>
    </w:p>
    <w:p w14:paraId="03031B44"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七、本基金为指数基金，投资者投资于本基金面临跟踪误差控制未达约定目标、指数编制机构停止服务、成份股停牌等潜在风险，详见本基金招募说明书。</w:t>
      </w:r>
      <w:r>
        <w:rPr>
          <w:rStyle w:val="custom"/>
          <w:rFonts w:ascii="宋体" w:hAnsi="宋体" w:cs="宋体"/>
          <w:kern w:val="0"/>
          <w:sz w:val="24"/>
          <w:szCs w:val="24"/>
        </w:rPr>
        <w:br w:type="page"/>
      </w:r>
    </w:p>
    <w:p w14:paraId="2939BFFE" w14:textId="77777777" w:rsidR="006D7D7F" w:rsidRDefault="008841B6">
      <w:pPr>
        <w:pStyle w:val="1"/>
        <w:spacing w:before="0" w:after="0"/>
        <w:jc w:val="center"/>
        <w:rPr>
          <w:rFonts w:ascii="Times New Roman"/>
          <w:color w:val="auto"/>
          <w:sz w:val="30"/>
        </w:rPr>
      </w:pPr>
      <w:bookmarkStart w:id="41" w:name="_Toc25600000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1"/>
    </w:p>
    <w:p w14:paraId="27874746" w14:textId="77777777" w:rsidR="006D7D7F" w:rsidRDefault="006D7D7F"/>
    <w:p w14:paraId="0BC6044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在本基金合同中，除非文意另有所指，下列词语或简称具有如下含义：</w:t>
      </w:r>
    </w:p>
    <w:p w14:paraId="469FB67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基金或本基金：</w:t>
      </w:r>
      <w:proofErr w:type="gramStart"/>
      <w:r>
        <w:rPr>
          <w:rFonts w:ascii="宋体" w:hAnsi="宋体" w:cs="宋体"/>
          <w:kern w:val="0"/>
          <w:sz w:val="24"/>
          <w:szCs w:val="24"/>
        </w:rPr>
        <w:t>指</w:t>
      </w:r>
      <w:r>
        <w:rPr>
          <w:rStyle w:val="custom"/>
          <w:rFonts w:ascii="宋体" w:hAnsi="宋体" w:cs="宋体"/>
          <w:kern w:val="0"/>
          <w:sz w:val="24"/>
          <w:szCs w:val="24"/>
        </w:rPr>
        <w:t>汇添富国证价值</w:t>
      </w:r>
      <w:proofErr w:type="gramEnd"/>
      <w:r>
        <w:rPr>
          <w:rStyle w:val="custom"/>
          <w:rFonts w:ascii="宋体" w:hAnsi="宋体" w:cs="宋体"/>
          <w:kern w:val="0"/>
          <w:sz w:val="24"/>
          <w:szCs w:val="24"/>
        </w:rPr>
        <w:t>100交易型开放式指数证券投资基金</w:t>
      </w:r>
    </w:p>
    <w:p w14:paraId="7827F1C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w:t>
      </w:r>
      <w:proofErr w:type="gramStart"/>
      <w:r>
        <w:rPr>
          <w:rFonts w:ascii="宋体" w:hAnsi="宋体" w:cs="宋体"/>
          <w:kern w:val="0"/>
          <w:sz w:val="24"/>
          <w:szCs w:val="24"/>
        </w:rPr>
        <w:t>指汇添富基金</w:t>
      </w:r>
      <w:proofErr w:type="gramEnd"/>
      <w:r>
        <w:rPr>
          <w:rFonts w:ascii="宋体" w:hAnsi="宋体" w:cs="宋体"/>
          <w:kern w:val="0"/>
          <w:sz w:val="24"/>
          <w:szCs w:val="24"/>
        </w:rPr>
        <w:t>管理股份有限公司</w:t>
      </w:r>
    </w:p>
    <w:p w14:paraId="2F737DD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基金托管人：指</w:t>
      </w:r>
      <w:r>
        <w:rPr>
          <w:rStyle w:val="custom1"/>
          <w:rFonts w:ascii="宋体" w:hAnsi="宋体" w:cs="宋体"/>
          <w:kern w:val="0"/>
          <w:sz w:val="24"/>
          <w:szCs w:val="24"/>
        </w:rPr>
        <w:t>中国建设银行股份有限公司</w:t>
      </w:r>
    </w:p>
    <w:p w14:paraId="7CAF886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基金合同或本基金合同：指《</w:t>
      </w:r>
      <w:r>
        <w:rPr>
          <w:rStyle w:val="custom1"/>
          <w:rFonts w:ascii="宋体" w:hAnsi="宋体" w:cs="宋体"/>
          <w:kern w:val="0"/>
          <w:sz w:val="24"/>
          <w:szCs w:val="24"/>
        </w:rPr>
        <w:t>汇添富国证价值100交易型开放式指数证券投资基金</w:t>
      </w:r>
      <w:r>
        <w:rPr>
          <w:rFonts w:ascii="宋体" w:hAnsi="宋体" w:cs="宋体"/>
          <w:kern w:val="0"/>
          <w:sz w:val="24"/>
          <w:szCs w:val="24"/>
        </w:rPr>
        <w:t>基金合同》及对本基金合同的任何有效修订和补充</w:t>
      </w:r>
    </w:p>
    <w:p w14:paraId="7511D04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custom1"/>
          <w:rFonts w:ascii="宋体" w:hAnsi="宋体" w:cs="宋体"/>
          <w:kern w:val="0"/>
          <w:sz w:val="24"/>
          <w:szCs w:val="24"/>
        </w:rPr>
        <w:t>汇添富国证价值100交易型开放式指数证券投资基金</w:t>
      </w:r>
      <w:r>
        <w:rPr>
          <w:rFonts w:ascii="宋体" w:hAnsi="宋体" w:cs="宋体"/>
          <w:kern w:val="0"/>
          <w:sz w:val="24"/>
          <w:szCs w:val="24"/>
        </w:rPr>
        <w:t>托管协议》及对该托管协议的任何有效修订和补充</w:t>
      </w:r>
    </w:p>
    <w:p w14:paraId="4771335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招募说明书：指《</w:t>
      </w:r>
      <w:r>
        <w:rPr>
          <w:rStyle w:val="custom1"/>
          <w:rFonts w:ascii="宋体" w:hAnsi="宋体" w:cs="宋体"/>
          <w:kern w:val="0"/>
          <w:sz w:val="24"/>
          <w:szCs w:val="24"/>
        </w:rPr>
        <w:t>汇添富国证价值100交易型开放式指数证券投资基金</w:t>
      </w:r>
      <w:r>
        <w:rPr>
          <w:rFonts w:ascii="宋体" w:hAnsi="宋体" w:cs="宋体"/>
          <w:kern w:val="0"/>
          <w:sz w:val="24"/>
          <w:szCs w:val="24"/>
        </w:rPr>
        <w:t>招募说明书》及其更新</w:t>
      </w:r>
    </w:p>
    <w:p w14:paraId="5CCBD6A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基金产品资料概要：指《</w:t>
      </w:r>
      <w:r>
        <w:rPr>
          <w:rStyle w:val="custom1"/>
          <w:rFonts w:ascii="宋体" w:hAnsi="宋体" w:cs="宋体"/>
          <w:kern w:val="0"/>
          <w:sz w:val="24"/>
          <w:szCs w:val="24"/>
        </w:rPr>
        <w:t>汇添富国证价值100交易型开放式指数证券投资基金</w:t>
      </w:r>
      <w:r>
        <w:rPr>
          <w:rFonts w:ascii="宋体" w:hAnsi="宋体" w:cs="宋体"/>
          <w:kern w:val="0"/>
          <w:sz w:val="24"/>
          <w:szCs w:val="24"/>
        </w:rPr>
        <w:t>基金产品资料概要》及其更新</w:t>
      </w:r>
    </w:p>
    <w:p w14:paraId="12F62E5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基金份额发售公告：指《</w:t>
      </w:r>
      <w:r>
        <w:rPr>
          <w:rStyle w:val="custom1"/>
          <w:rFonts w:ascii="宋体" w:hAnsi="宋体" w:cs="宋体"/>
          <w:kern w:val="0"/>
          <w:sz w:val="24"/>
          <w:szCs w:val="24"/>
        </w:rPr>
        <w:t>汇添富国证价值100交易型开放式指数证券投资基金</w:t>
      </w:r>
      <w:r>
        <w:rPr>
          <w:rFonts w:ascii="宋体" w:hAnsi="宋体" w:cs="宋体"/>
          <w:kern w:val="0"/>
          <w:sz w:val="24"/>
          <w:szCs w:val="24"/>
        </w:rPr>
        <w:t>基金份额发售公告》</w:t>
      </w:r>
    </w:p>
    <w:p w14:paraId="095C948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上市交易公告书：指《</w:t>
      </w:r>
      <w:r>
        <w:rPr>
          <w:rStyle w:val="custom1"/>
          <w:rFonts w:ascii="宋体" w:hAnsi="宋体" w:cs="宋体"/>
          <w:kern w:val="0"/>
          <w:sz w:val="24"/>
          <w:szCs w:val="24"/>
        </w:rPr>
        <w:t>汇添富国证价值100交易型开放式指数证券投资基金</w:t>
      </w:r>
      <w:r>
        <w:rPr>
          <w:rFonts w:ascii="宋体" w:hAnsi="宋体" w:cs="宋体"/>
          <w:kern w:val="0"/>
          <w:sz w:val="24"/>
          <w:szCs w:val="24"/>
        </w:rPr>
        <w:t>上市交易公告书》</w:t>
      </w:r>
    </w:p>
    <w:p w14:paraId="3FB9C49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14:paraId="54B8E49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54269D7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《销售办法》：指中国证监会2020年8月28日颁布、同年10月1日</w:t>
      </w:r>
      <w:r>
        <w:rPr>
          <w:rFonts w:ascii="宋体" w:hAnsi="宋体" w:cs="宋体"/>
          <w:kern w:val="0"/>
          <w:sz w:val="24"/>
          <w:szCs w:val="24"/>
        </w:rPr>
        <w:lastRenderedPageBreak/>
        <w:t>实施的《公开募集证券投资基金销售机构监督管理办法》及颁布机关对其不时做出的修订</w:t>
      </w:r>
    </w:p>
    <w:p w14:paraId="6872EC6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1BE47BB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《运作办法》：指中国证监会2014年7月7日颁布、同年8月8日实施的《公开募集证券投资基金运作管理办法》及颁布机关对其不时做出的修订</w:t>
      </w:r>
    </w:p>
    <w:p w14:paraId="276B1A3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14:paraId="52D85CD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《指数基金指引》：指中国证监会2021年1月18日颁布、同年2月1日实施的《公开募集证券投资基金运作指引第3号——指数基金指引》及颁布机关对其不时做出的修订</w:t>
      </w:r>
    </w:p>
    <w:p w14:paraId="516E367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中国证监会：指中国证券监督管理委员会</w:t>
      </w:r>
    </w:p>
    <w:p w14:paraId="0C2C39F7"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18、银行业监督管理机构：指中国人民银行和/或国家金融监督管理总局</w:t>
      </w:r>
    </w:p>
    <w:p w14:paraId="17B87E31"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19、交易型开放式指数证券投资基金：指《深圳证券交易所证券投资基金交易和申购赎回实施细则》定义的“交易型开放式指数基金”，简称“ETF”</w:t>
      </w:r>
    </w:p>
    <w:p w14:paraId="1BCDDFE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ETF联接基金：指将绝大部分基金财产投资于本基金，与本基金的投资目标类似，采用开放式运作方式的基金</w:t>
      </w:r>
    </w:p>
    <w:p w14:paraId="4412E93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基金合同当事人：指受基金合同约束，根据基金合同享有权利并承担义务的法律主体，包括基金管理人、基金托管人和基金份额持有人</w:t>
      </w:r>
    </w:p>
    <w:p w14:paraId="248AF14D"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个人投资者：指依据有关法律法规规定可投资于证券投资基金的自然人</w:t>
      </w:r>
    </w:p>
    <w:p w14:paraId="0157E18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14:paraId="2373C79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合格境外投资者：指符合《合格境外机构投资者和人民币合格境外机构投资者境内证券期货投资管理办法》（包括其不时修订）及相关法律法规规</w:t>
      </w:r>
      <w:r>
        <w:rPr>
          <w:rFonts w:ascii="宋体" w:hAnsi="宋体" w:cs="宋体"/>
          <w:kern w:val="0"/>
          <w:sz w:val="24"/>
          <w:szCs w:val="24"/>
        </w:rPr>
        <w:lastRenderedPageBreak/>
        <w:t>定使用来自境外的资金进行境内证券期货投资的境外机构投资者，包括合格境外机构投资者和人民币合格境外机构投资者</w:t>
      </w:r>
    </w:p>
    <w:p w14:paraId="2BBDCE7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投资人、投资者：指个人投资者、机构投资者和合格境外投资者以及法律法规或中国证监会允许购买证券投资基金的其他投资人的合称</w:t>
      </w:r>
    </w:p>
    <w:p w14:paraId="2BA791CD"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基金份额持有人：指依基金合同和招募说明书合法取得基金份额的投资人</w:t>
      </w:r>
    </w:p>
    <w:p w14:paraId="5691356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基金销售业务：指基金管理人或销售机构宣传推介基金，发售基金份额，办理基金份额的申购、赎回等业务</w:t>
      </w:r>
    </w:p>
    <w:p w14:paraId="1BB9D2D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28、</w:t>
      </w:r>
      <w:r>
        <w:rPr>
          <w:rFonts w:ascii="宋体" w:hAnsi="宋体" w:cs="宋体"/>
          <w:kern w:val="0"/>
          <w:sz w:val="24"/>
          <w:szCs w:val="24"/>
        </w:rPr>
        <w:t>销售机构：</w:t>
      </w:r>
      <w:proofErr w:type="gramStart"/>
      <w:r>
        <w:rPr>
          <w:rFonts w:ascii="宋体" w:hAnsi="宋体" w:cs="宋体"/>
          <w:kern w:val="0"/>
          <w:sz w:val="24"/>
          <w:szCs w:val="24"/>
        </w:rPr>
        <w:t>指汇添富基金</w:t>
      </w:r>
      <w:proofErr w:type="gramEnd"/>
      <w:r>
        <w:rPr>
          <w:rFonts w:ascii="宋体" w:hAnsi="宋体" w:cs="宋体"/>
          <w:kern w:val="0"/>
          <w:sz w:val="24"/>
          <w:szCs w:val="24"/>
        </w:rPr>
        <w:t>管理股份有限公司以及符合《销售办法》和中国证监会规定的其他条件，取得基金销售业务资格并与基金管理人签订了基金销售服务协议，办理基金销售业务的机构</w:t>
      </w:r>
    </w:p>
    <w:p w14:paraId="42DB842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29、</w:t>
      </w:r>
      <w:r>
        <w:rPr>
          <w:rFonts w:ascii="宋体" w:hAnsi="宋体" w:cs="宋体"/>
          <w:kern w:val="0"/>
          <w:sz w:val="24"/>
          <w:szCs w:val="24"/>
        </w:rPr>
        <w:t>发售代理机构：指符合《销售办法》和中国证监会规定的其他条件，由基金管理人指定的、在募集期间代理本基金发售业务的机构</w:t>
      </w:r>
    </w:p>
    <w:p w14:paraId="7A69055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30、</w:t>
      </w:r>
      <w:r>
        <w:rPr>
          <w:rFonts w:ascii="宋体" w:hAnsi="宋体" w:cs="宋体"/>
          <w:kern w:val="0"/>
          <w:sz w:val="24"/>
          <w:szCs w:val="24"/>
        </w:rPr>
        <w:t>申购赎回代理券商：指符合《销售办法》和中国证监会规定的其他条件，由基金管理人指定的办理本基金申购、赎回业务的证券公司，又称为代办证券公司</w:t>
      </w:r>
    </w:p>
    <w:p w14:paraId="29FF81AD"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31、</w:t>
      </w:r>
      <w:r>
        <w:rPr>
          <w:rFonts w:ascii="宋体" w:hAnsi="宋体" w:cs="宋体"/>
          <w:kern w:val="0"/>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cs="宋体"/>
          <w:kern w:val="0"/>
          <w:sz w:val="24"/>
          <w:szCs w:val="24"/>
        </w:rPr>
        <w:t>非交易</w:t>
      </w:r>
      <w:proofErr w:type="gramEnd"/>
      <w:r>
        <w:rPr>
          <w:rFonts w:ascii="宋体" w:hAnsi="宋体" w:cs="宋体"/>
          <w:kern w:val="0"/>
          <w:sz w:val="24"/>
          <w:szCs w:val="24"/>
        </w:rPr>
        <w:t>过户等</w:t>
      </w:r>
    </w:p>
    <w:p w14:paraId="4A1E890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32、</w:t>
      </w:r>
      <w:r>
        <w:rPr>
          <w:rFonts w:ascii="宋体" w:hAnsi="宋体" w:cs="宋体"/>
          <w:kern w:val="0"/>
          <w:sz w:val="24"/>
          <w:szCs w:val="24"/>
        </w:rPr>
        <w:t>登记机构：</w:t>
      </w:r>
      <w:proofErr w:type="gramStart"/>
      <w:r>
        <w:rPr>
          <w:rFonts w:ascii="宋体" w:hAnsi="宋体" w:cs="宋体"/>
          <w:kern w:val="0"/>
          <w:sz w:val="24"/>
          <w:szCs w:val="24"/>
        </w:rPr>
        <w:t>指办理</w:t>
      </w:r>
      <w:proofErr w:type="gramEnd"/>
      <w:r>
        <w:rPr>
          <w:rFonts w:ascii="宋体" w:hAnsi="宋体" w:cs="宋体"/>
          <w:kern w:val="0"/>
          <w:sz w:val="24"/>
          <w:szCs w:val="24"/>
        </w:rPr>
        <w:t>登记业务的机构。基金的登记机构为</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管理股份有限公司或接受</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管理股份有限公司委托代为办理登记业务的机构</w:t>
      </w:r>
    </w:p>
    <w:p w14:paraId="107B16A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33、</w:t>
      </w:r>
      <w:r>
        <w:rPr>
          <w:rFonts w:ascii="宋体" w:hAnsi="宋体" w:cs="宋体"/>
          <w:kern w:val="0"/>
          <w:sz w:val="24"/>
          <w:szCs w:val="24"/>
        </w:rPr>
        <w:t>基金账户：指登记机构为投资人开立的、记录其持有的、基金管理人所管理的基金份额余额及其变动情况的账户</w:t>
      </w:r>
    </w:p>
    <w:p w14:paraId="5D20C0F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34、</w:t>
      </w:r>
      <w:r>
        <w:rPr>
          <w:rFonts w:ascii="宋体" w:hAnsi="宋体" w:cs="宋体"/>
          <w:kern w:val="0"/>
          <w:sz w:val="24"/>
          <w:szCs w:val="24"/>
        </w:rPr>
        <w:t>基金合同生效日：指基金募集达到法律法规规定及基金合同规定的条件，基金管理人向中国证监会办理基金备案手续完毕，并获得中国证监会书面确认的日期</w:t>
      </w:r>
    </w:p>
    <w:p w14:paraId="4C9865D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35、</w:t>
      </w:r>
      <w:r>
        <w:rPr>
          <w:rFonts w:ascii="宋体" w:hAnsi="宋体" w:cs="宋体"/>
          <w:kern w:val="0"/>
          <w:sz w:val="24"/>
          <w:szCs w:val="24"/>
        </w:rPr>
        <w:t>基金合同终止日：指基金合同规定的基金合同终止事由出现后，基金财产清算完毕，清算结果报中国证监会备案并予以公告的日期</w:t>
      </w:r>
    </w:p>
    <w:p w14:paraId="0D88420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36、</w:t>
      </w:r>
      <w:r>
        <w:rPr>
          <w:rFonts w:ascii="宋体" w:hAnsi="宋体" w:cs="宋体"/>
          <w:kern w:val="0"/>
          <w:sz w:val="24"/>
          <w:szCs w:val="24"/>
        </w:rPr>
        <w:t>基金募集期：指自基金份额发售之日起至发售结束之日止的期间，最长不得超过3个月</w:t>
      </w:r>
    </w:p>
    <w:p w14:paraId="3F59B44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37、</w:t>
      </w:r>
      <w:r>
        <w:rPr>
          <w:rFonts w:ascii="宋体" w:hAnsi="宋体" w:cs="宋体"/>
          <w:kern w:val="0"/>
          <w:sz w:val="24"/>
          <w:szCs w:val="24"/>
        </w:rPr>
        <w:t>存续期：指基金合同生效至终止之间的不定期期限</w:t>
      </w:r>
    </w:p>
    <w:p w14:paraId="6F64CD7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38、</w:t>
      </w:r>
      <w:r>
        <w:rPr>
          <w:rFonts w:ascii="宋体" w:hAnsi="宋体" w:cs="宋体"/>
          <w:kern w:val="0"/>
          <w:sz w:val="24"/>
          <w:szCs w:val="24"/>
        </w:rPr>
        <w:t>工作日：</w:t>
      </w:r>
      <w:r>
        <w:rPr>
          <w:rStyle w:val="custom"/>
          <w:rFonts w:ascii="宋体" w:hAnsi="宋体" w:cs="宋体"/>
          <w:kern w:val="0"/>
          <w:sz w:val="24"/>
          <w:szCs w:val="24"/>
        </w:rPr>
        <w:t>指上海证券交易所、深圳证券交易所的正常交易日</w:t>
      </w:r>
    </w:p>
    <w:p w14:paraId="092A723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39、</w:t>
      </w:r>
      <w:r>
        <w:rPr>
          <w:rFonts w:ascii="宋体" w:hAnsi="宋体" w:cs="宋体"/>
          <w:kern w:val="0"/>
          <w:sz w:val="24"/>
          <w:szCs w:val="24"/>
        </w:rPr>
        <w:t>T日：指销售机构在规定时间受理投资人申购、赎回或其他业务申请的开放日</w:t>
      </w:r>
    </w:p>
    <w:p w14:paraId="3C6CA61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40、</w:t>
      </w:r>
      <w:r>
        <w:rPr>
          <w:rFonts w:ascii="宋体" w:hAnsi="宋体" w:cs="宋体"/>
          <w:kern w:val="0"/>
          <w:sz w:val="24"/>
          <w:szCs w:val="24"/>
        </w:rPr>
        <w:t>T+n日：指自T日起第n</w:t>
      </w:r>
      <w:proofErr w:type="gramStart"/>
      <w:r>
        <w:rPr>
          <w:rFonts w:ascii="宋体" w:hAnsi="宋体" w:cs="宋体"/>
          <w:kern w:val="0"/>
          <w:sz w:val="24"/>
          <w:szCs w:val="24"/>
        </w:rPr>
        <w:t>个</w:t>
      </w:r>
      <w:proofErr w:type="gramEnd"/>
      <w:r>
        <w:rPr>
          <w:rFonts w:ascii="宋体" w:hAnsi="宋体" w:cs="宋体"/>
          <w:kern w:val="0"/>
          <w:sz w:val="24"/>
          <w:szCs w:val="24"/>
        </w:rPr>
        <w:t>工作日(不包含T日)</w:t>
      </w:r>
    </w:p>
    <w:p w14:paraId="2F2C685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41、开放日：指为投资人办理基金份额申购、赎回或其他业务的工作日</w:t>
      </w:r>
    </w:p>
    <w:p w14:paraId="55ACB7D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42、</w:t>
      </w:r>
      <w:r>
        <w:rPr>
          <w:rFonts w:ascii="宋体" w:hAnsi="宋体" w:cs="宋体"/>
          <w:kern w:val="0"/>
          <w:sz w:val="24"/>
          <w:szCs w:val="24"/>
        </w:rPr>
        <w:t>开放时间：指开放日基金接受申购、赎回或其他交易的时间段</w:t>
      </w:r>
    </w:p>
    <w:p w14:paraId="5E1576D7"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43、《业务规则》：指深圳证券交易所、中国证券登记结算有限责任公司、</w:t>
      </w:r>
      <w:proofErr w:type="gramStart"/>
      <w:r>
        <w:rPr>
          <w:rStyle w:val="custom"/>
          <w:rFonts w:ascii="宋体" w:hAnsi="宋体" w:cs="宋体"/>
          <w:kern w:val="0"/>
          <w:sz w:val="24"/>
          <w:szCs w:val="24"/>
        </w:rPr>
        <w:t>汇添富基金</w:t>
      </w:r>
      <w:proofErr w:type="gramEnd"/>
      <w:r>
        <w:rPr>
          <w:rStyle w:val="custom"/>
          <w:rFonts w:ascii="宋体" w:hAnsi="宋体" w:cs="宋体"/>
          <w:kern w:val="0"/>
          <w:sz w:val="24"/>
          <w:szCs w:val="24"/>
        </w:rPr>
        <w:t>管理股份有限公司、基金销售机构的相关业务规则和规定</w:t>
      </w:r>
    </w:p>
    <w:p w14:paraId="787CF7B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44、</w:t>
      </w:r>
      <w:r>
        <w:rPr>
          <w:rFonts w:ascii="宋体" w:hAnsi="宋体" w:cs="宋体"/>
          <w:kern w:val="0"/>
          <w:sz w:val="24"/>
          <w:szCs w:val="24"/>
        </w:rPr>
        <w:t>标的指数：指</w:t>
      </w:r>
      <w:proofErr w:type="gramStart"/>
      <w:r>
        <w:rPr>
          <w:rStyle w:val="custom1"/>
          <w:rFonts w:ascii="宋体" w:hAnsi="宋体" w:cs="宋体"/>
          <w:kern w:val="0"/>
          <w:sz w:val="24"/>
          <w:szCs w:val="24"/>
        </w:rPr>
        <w:t>国证价值</w:t>
      </w:r>
      <w:proofErr w:type="gramEnd"/>
      <w:r>
        <w:rPr>
          <w:rStyle w:val="custom1"/>
          <w:rFonts w:ascii="宋体" w:hAnsi="宋体" w:cs="宋体"/>
          <w:kern w:val="0"/>
          <w:sz w:val="24"/>
          <w:szCs w:val="24"/>
        </w:rPr>
        <w:t>100</w:t>
      </w:r>
      <w:r>
        <w:rPr>
          <w:rFonts w:ascii="宋体" w:hAnsi="宋体" w:cs="宋体"/>
          <w:kern w:val="0"/>
          <w:sz w:val="24"/>
          <w:szCs w:val="24"/>
        </w:rPr>
        <w:t>指数</w:t>
      </w:r>
    </w:p>
    <w:p w14:paraId="6D38DB2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45、</w:t>
      </w:r>
      <w:r>
        <w:rPr>
          <w:rFonts w:ascii="宋体" w:hAnsi="宋体" w:cs="宋体"/>
          <w:kern w:val="0"/>
          <w:sz w:val="24"/>
          <w:szCs w:val="24"/>
        </w:rPr>
        <w:t>认购：指在基金募集期内，投资人根据基金合同和招募说明书的规定申请购买基金份额的行为</w:t>
      </w:r>
    </w:p>
    <w:p w14:paraId="393BA0A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46、</w:t>
      </w:r>
      <w:r>
        <w:rPr>
          <w:rFonts w:ascii="宋体" w:hAnsi="宋体" w:cs="宋体"/>
          <w:kern w:val="0"/>
          <w:sz w:val="24"/>
          <w:szCs w:val="24"/>
        </w:rPr>
        <w:t>申购：指基金合同生效后，投资人根据基金合同和招募说明书的规定申请购买基金份额的行为</w:t>
      </w:r>
    </w:p>
    <w:p w14:paraId="3F8F503B"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47、</w:t>
      </w:r>
      <w:r>
        <w:rPr>
          <w:rFonts w:ascii="宋体" w:hAnsi="宋体" w:cs="宋体"/>
          <w:kern w:val="0"/>
          <w:sz w:val="24"/>
          <w:szCs w:val="24"/>
        </w:rPr>
        <w:t>赎回：指基金合同生效后，基金份额持有人按基金合同和招募说明书规定的条件要求将基金份额兑换为基金合同所规定对价的行为</w:t>
      </w:r>
    </w:p>
    <w:p w14:paraId="7805C34B"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48、</w:t>
      </w:r>
      <w:r>
        <w:rPr>
          <w:rFonts w:ascii="宋体" w:hAnsi="宋体" w:cs="宋体"/>
          <w:kern w:val="0"/>
          <w:sz w:val="24"/>
          <w:szCs w:val="24"/>
        </w:rPr>
        <w:t>申购赎回清单：指由基金管理人编制的用以公告申购对价、赎回对价等信息的文件</w:t>
      </w:r>
    </w:p>
    <w:p w14:paraId="1022089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49、申购对价：指投资者申购基金份额时，按基金合同和招募说明书规定应交付的组合证券、现金替代、现金差额及其他对价</w:t>
      </w:r>
    </w:p>
    <w:p w14:paraId="04B125F6"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50、赎回对价：指基金份额持有人赎回基金份额时，基金管理人按基金合同和招募说明书规定应交付给赎回人的组合证券、现金替代、现金差额及其他对价</w:t>
      </w:r>
    </w:p>
    <w:p w14:paraId="1B0A075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51、</w:t>
      </w:r>
      <w:r>
        <w:rPr>
          <w:rFonts w:ascii="宋体" w:hAnsi="宋体" w:cs="宋体"/>
          <w:kern w:val="0"/>
          <w:sz w:val="24"/>
          <w:szCs w:val="24"/>
        </w:rPr>
        <w:t>组合证券：指本基金标的指数所包含的全部或部分证券</w:t>
      </w:r>
    </w:p>
    <w:p w14:paraId="6AC763B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52、现金替代：指申购或赎回过程中，投资者按基金合同和招募说明书的规定，用于替代组合证券中部分证券的一定数量的现金</w:t>
      </w:r>
    </w:p>
    <w:p w14:paraId="7E48A97C" w14:textId="77777777" w:rsidR="006D7D7F" w:rsidRDefault="008841B6">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53、现金差额：指最小申购、赎回单位的资产净值与按当日收盘价计算的最小申购、赎回单位中的组合证券市值和现金替代之差；投资者申购或赎回时</w:t>
      </w:r>
      <w:r>
        <w:rPr>
          <w:rStyle w:val="custom"/>
          <w:rFonts w:ascii="宋体" w:hAnsi="宋体" w:cs="宋体"/>
          <w:kern w:val="0"/>
          <w:sz w:val="24"/>
          <w:szCs w:val="24"/>
        </w:rPr>
        <w:lastRenderedPageBreak/>
        <w:t>应支付或应获得的现金差额根据最小申购、赎回单位对应的现金差额、申购或赎回的基金份额数计算</w:t>
      </w:r>
    </w:p>
    <w:p w14:paraId="449AE3C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54、预估现金差额：指由基金管理人估计并在T日申购赎回清单中公布的当日现金差额的估计值，预估现金差额由申购赎回代理券商预先冻结</w:t>
      </w:r>
    </w:p>
    <w:p w14:paraId="0520E1C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55、</w:t>
      </w:r>
      <w:r>
        <w:rPr>
          <w:rFonts w:ascii="宋体" w:hAnsi="宋体" w:cs="宋体"/>
          <w:kern w:val="0"/>
          <w:sz w:val="24"/>
          <w:szCs w:val="24"/>
        </w:rPr>
        <w:t>最小申购、赎回单位：指本基金申购份额、赎回份额的最低数量，投资者申购、赎回的基金份额应为最小申购、赎回单位的整数倍</w:t>
      </w:r>
    </w:p>
    <w:p w14:paraId="598311CB"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56、基金份额参考净值：指基金管理人或者基金管理人委托的机构在开市后根据申购赎回清单和组合证券内各只证券的实时成交数据计算，并通过深圳证券交易所发布的基金份额参考净值，简称IOPV</w:t>
      </w:r>
    </w:p>
    <w:p w14:paraId="144E8BE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57、</w:t>
      </w:r>
      <w:r>
        <w:rPr>
          <w:rFonts w:ascii="宋体" w:hAnsi="宋体" w:cs="宋体"/>
          <w:kern w:val="0"/>
          <w:sz w:val="24"/>
          <w:szCs w:val="24"/>
        </w:rPr>
        <w:t>基金份额折算：指基金管理人根据基金运作的需要，在基金资产净值不变的前提下，按照一定比例调整基金份额总额及基金份额净值的行为</w:t>
      </w:r>
    </w:p>
    <w:p w14:paraId="245A4A74" w14:textId="77777777" w:rsidR="006D7D7F" w:rsidRDefault="008841B6">
      <w:pPr>
        <w:pStyle w:val="div"/>
        <w:spacing w:line="360" w:lineRule="auto"/>
        <w:ind w:firstLine="480"/>
        <w:rPr>
          <w:rFonts w:eastAsia="Times New Roman"/>
          <w:kern w:val="0"/>
          <w:sz w:val="24"/>
          <w:szCs w:val="24"/>
        </w:rPr>
      </w:pPr>
      <w:r>
        <w:rPr>
          <w:rStyle w:val="serial-tag"/>
          <w:rFonts w:ascii="宋体" w:hAnsi="宋体" w:cs="宋体"/>
          <w:kern w:val="0"/>
          <w:sz w:val="24"/>
          <w:szCs w:val="24"/>
        </w:rPr>
        <w:t>58、</w:t>
      </w:r>
      <w:r>
        <w:rPr>
          <w:rStyle w:val="divCharacter"/>
          <w:rFonts w:ascii="宋体" w:hAnsi="宋体" w:cs="宋体"/>
          <w:kern w:val="0"/>
          <w:sz w:val="24"/>
          <w:szCs w:val="24"/>
        </w:rPr>
        <w:t>收益评价日：指基金管理人计算基金相对标的指数的超额收益率（本基金份额净值增长率与标的指数同期增长率差额）和/或基金可供分配利润金额之日</w:t>
      </w:r>
    </w:p>
    <w:p w14:paraId="36E711B1"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59、</w:t>
      </w:r>
      <w:r>
        <w:rPr>
          <w:rFonts w:ascii="宋体" w:hAnsi="宋体" w:cs="宋体"/>
          <w:kern w:val="0"/>
          <w:sz w:val="24"/>
          <w:szCs w:val="24"/>
        </w:rPr>
        <w:t>元：指人民币元</w:t>
      </w:r>
    </w:p>
    <w:p w14:paraId="599E8D10"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60、基金收益：指基金投资所得红利、股息、债券利息、买卖证券价差、银行存款利息、已实现的其他合法收入及因运用基金财产带来的成本和费用的节约</w:t>
      </w:r>
    </w:p>
    <w:p w14:paraId="32968FE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61、</w:t>
      </w:r>
      <w:r>
        <w:rPr>
          <w:rFonts w:ascii="宋体" w:hAnsi="宋体" w:cs="宋体"/>
          <w:kern w:val="0"/>
          <w:sz w:val="24"/>
          <w:szCs w:val="24"/>
        </w:rPr>
        <w:t>基金资产总值：指基金拥有的各类有价证券及票据价值、银行存款本息、基金应收申购款及其他资产的价值总和</w:t>
      </w:r>
    </w:p>
    <w:p w14:paraId="551A883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62、</w:t>
      </w:r>
      <w:r>
        <w:rPr>
          <w:rFonts w:ascii="宋体" w:hAnsi="宋体" w:cs="宋体"/>
          <w:kern w:val="0"/>
          <w:sz w:val="24"/>
          <w:szCs w:val="24"/>
        </w:rPr>
        <w:t>基金资产净值：指基金资产总值减去基金负债后的价值</w:t>
      </w:r>
    </w:p>
    <w:p w14:paraId="75E9CD1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63、</w:t>
      </w:r>
      <w:r>
        <w:rPr>
          <w:rFonts w:ascii="宋体" w:hAnsi="宋体" w:cs="宋体"/>
          <w:kern w:val="0"/>
          <w:sz w:val="24"/>
          <w:szCs w:val="24"/>
        </w:rPr>
        <w:t>基金份额净值：指计算日基金资产净值除以计算日基金份额总数</w:t>
      </w:r>
    </w:p>
    <w:p w14:paraId="256E2DB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64、</w:t>
      </w:r>
      <w:r>
        <w:rPr>
          <w:rFonts w:ascii="宋体" w:hAnsi="宋体" w:cs="宋体"/>
          <w:kern w:val="0"/>
          <w:sz w:val="24"/>
          <w:szCs w:val="24"/>
        </w:rPr>
        <w:t>基金资产估值：指计算评估基金资产和负债的价值，以确定基金资产净值和基金份额净值的过程</w:t>
      </w:r>
    </w:p>
    <w:p w14:paraId="0EDCCC94"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65、转融通证券出借业务：指本基金以一定费率通过证券交易所综合业务平台向中国证券金融股份有限公司出借证券，中国证券金融股份有限公司到期归还所借证券及相应权益补偿并支付费用的业务</w:t>
      </w:r>
    </w:p>
    <w:p w14:paraId="47A1105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66、</w:t>
      </w:r>
      <w:r>
        <w:rPr>
          <w:rFonts w:ascii="宋体" w:hAnsi="宋体" w:cs="宋体"/>
          <w:kern w:val="0"/>
          <w:sz w:val="24"/>
          <w:szCs w:val="24"/>
        </w:rPr>
        <w:t>本基金联接基金：指“</w:t>
      </w:r>
      <w:r>
        <w:rPr>
          <w:rStyle w:val="custom1"/>
          <w:rFonts w:ascii="宋体" w:hAnsi="宋体" w:cs="宋体"/>
          <w:kern w:val="0"/>
          <w:sz w:val="24"/>
          <w:szCs w:val="24"/>
        </w:rPr>
        <w:t>汇添富国证价值100交易型开放式指数证券投资基金</w:t>
      </w:r>
      <w:r>
        <w:rPr>
          <w:rFonts w:ascii="宋体" w:hAnsi="宋体" w:cs="宋体"/>
          <w:kern w:val="0"/>
          <w:sz w:val="24"/>
          <w:szCs w:val="24"/>
        </w:rPr>
        <w:t>联接基金”以及基金管理人根据基金发展需要募集并管理的以本基金为目标ETF的其他联接基金</w:t>
      </w:r>
    </w:p>
    <w:p w14:paraId="08FD043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67、</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6D97A2A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68、</w:t>
      </w:r>
      <w:r>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cs="宋体"/>
          <w:kern w:val="0"/>
          <w:sz w:val="24"/>
          <w:szCs w:val="24"/>
        </w:rPr>
        <w:t>含协议</w:t>
      </w:r>
      <w:proofErr w:type="gramEnd"/>
      <w:r>
        <w:rPr>
          <w:rFonts w:ascii="宋体" w:hAnsi="宋体" w:cs="宋体"/>
          <w:kern w:val="0"/>
          <w:sz w:val="24"/>
          <w:szCs w:val="24"/>
        </w:rPr>
        <w:t>约定有条件提前支取的银行存款）、停牌股票、流通受限的新股及非公开发行股票、资产支持证券、因发行人债务违约无法进行转让或交易的债券等，如未来法律法规变动，基金管理人在履行适当程序后，可对上述流动性受限资产范围进行调整</w:t>
      </w:r>
    </w:p>
    <w:p w14:paraId="6D48818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69、</w:t>
      </w:r>
      <w:r>
        <w:rPr>
          <w:rFonts w:ascii="宋体" w:hAnsi="宋体" w:cs="宋体"/>
          <w:kern w:val="0"/>
          <w:sz w:val="24"/>
          <w:szCs w:val="24"/>
        </w:rPr>
        <w:t>不可抗力：指本基金合同当事人不能预见、不能避免且不能克服的客观事件</w:t>
      </w:r>
      <w:r>
        <w:rPr>
          <w:rFonts w:ascii="宋体" w:hAnsi="宋体" w:cs="宋体"/>
          <w:kern w:val="0"/>
          <w:sz w:val="24"/>
          <w:szCs w:val="24"/>
        </w:rPr>
        <w:br w:type="page"/>
      </w:r>
    </w:p>
    <w:p w14:paraId="119D877D" w14:textId="77777777" w:rsidR="006D7D7F" w:rsidRDefault="008841B6">
      <w:pPr>
        <w:pStyle w:val="1"/>
        <w:spacing w:before="0" w:after="0"/>
        <w:jc w:val="center"/>
        <w:rPr>
          <w:rFonts w:ascii="Times New Roman"/>
          <w:color w:val="auto"/>
          <w:sz w:val="30"/>
        </w:rPr>
      </w:pPr>
      <w:bookmarkStart w:id="42" w:name="_Toc25600000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End w:id="42"/>
    </w:p>
    <w:p w14:paraId="6363747D" w14:textId="77777777" w:rsidR="006D7D7F" w:rsidRDefault="006D7D7F"/>
    <w:p w14:paraId="7978D47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一、基金名称</w:t>
      </w:r>
    </w:p>
    <w:p w14:paraId="2B7B0EFA" w14:textId="77777777" w:rsidR="006D7D7F" w:rsidRDefault="008841B6">
      <w:pPr>
        <w:pStyle w:val="div"/>
        <w:spacing w:line="360" w:lineRule="auto"/>
        <w:ind w:firstLine="480"/>
        <w:rPr>
          <w:rFonts w:ascii="宋体" w:hAnsi="宋体" w:cs="宋体"/>
          <w:kern w:val="0"/>
          <w:sz w:val="24"/>
          <w:szCs w:val="24"/>
        </w:rPr>
      </w:pPr>
      <w:proofErr w:type="gramStart"/>
      <w:r>
        <w:rPr>
          <w:rFonts w:ascii="宋体" w:hAnsi="宋体" w:cs="宋体"/>
          <w:kern w:val="0"/>
          <w:sz w:val="24"/>
          <w:szCs w:val="24"/>
        </w:rPr>
        <w:t>汇添富国证价值</w:t>
      </w:r>
      <w:proofErr w:type="gramEnd"/>
      <w:r>
        <w:rPr>
          <w:rFonts w:ascii="宋体" w:hAnsi="宋体" w:cs="宋体"/>
          <w:kern w:val="0"/>
          <w:sz w:val="24"/>
          <w:szCs w:val="24"/>
        </w:rPr>
        <w:t>100交易型开放式指数证券投资基金</w:t>
      </w:r>
    </w:p>
    <w:p w14:paraId="2AFA668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二、基金的类别</w:t>
      </w:r>
    </w:p>
    <w:p w14:paraId="633B7353"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股票型证券投资基金</w:t>
      </w:r>
    </w:p>
    <w:p w14:paraId="7AC418C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三、基金的运作方式</w:t>
      </w:r>
    </w:p>
    <w:p w14:paraId="4FF7A47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交易型开放式</w:t>
      </w:r>
    </w:p>
    <w:p w14:paraId="6A6E6F1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四、基金的标的指数</w:t>
      </w:r>
    </w:p>
    <w:p w14:paraId="29A85564" w14:textId="77777777" w:rsidR="006D7D7F" w:rsidRDefault="008841B6">
      <w:pPr>
        <w:pStyle w:val="div"/>
        <w:spacing w:line="360" w:lineRule="auto"/>
        <w:ind w:firstLine="480"/>
        <w:rPr>
          <w:rFonts w:ascii="宋体" w:hAnsi="宋体" w:cs="宋体"/>
          <w:kern w:val="0"/>
          <w:sz w:val="24"/>
          <w:szCs w:val="24"/>
        </w:rPr>
      </w:pPr>
      <w:proofErr w:type="gramStart"/>
      <w:r>
        <w:rPr>
          <w:rStyle w:val="custom1"/>
          <w:rFonts w:ascii="宋体" w:hAnsi="宋体" w:cs="宋体"/>
          <w:kern w:val="0"/>
          <w:sz w:val="24"/>
          <w:szCs w:val="24"/>
        </w:rPr>
        <w:t>国证价值</w:t>
      </w:r>
      <w:proofErr w:type="gramEnd"/>
      <w:r>
        <w:rPr>
          <w:rStyle w:val="custom1"/>
          <w:rFonts w:ascii="宋体" w:hAnsi="宋体" w:cs="宋体"/>
          <w:kern w:val="0"/>
          <w:sz w:val="24"/>
          <w:szCs w:val="24"/>
        </w:rPr>
        <w:t>100</w:t>
      </w:r>
      <w:r>
        <w:rPr>
          <w:rFonts w:ascii="宋体" w:hAnsi="宋体" w:cs="宋体"/>
          <w:kern w:val="0"/>
          <w:sz w:val="24"/>
          <w:szCs w:val="24"/>
        </w:rPr>
        <w:t>指数</w:t>
      </w:r>
    </w:p>
    <w:p w14:paraId="39E0B23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五、基金的投资目标</w:t>
      </w:r>
    </w:p>
    <w:p w14:paraId="7C2206D3"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紧密跟踪标的指数，追求跟踪偏离度和跟踪误差的最小化。</w:t>
      </w:r>
    </w:p>
    <w:p w14:paraId="406CCFD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六、基金的最低募集份额总额</w:t>
      </w:r>
    </w:p>
    <w:p w14:paraId="296EBA2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本基金的最低募集份额总额为2亿份。</w:t>
      </w:r>
    </w:p>
    <w:p w14:paraId="17E77F5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七、基金份额发售面值和认购费用</w:t>
      </w:r>
    </w:p>
    <w:p w14:paraId="270C45E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w:t>
      </w:r>
      <w:proofErr w:type="gramStart"/>
      <w:r>
        <w:rPr>
          <w:rFonts w:ascii="宋体" w:hAnsi="宋体" w:cs="宋体"/>
          <w:kern w:val="0"/>
          <w:sz w:val="24"/>
          <w:szCs w:val="24"/>
        </w:rPr>
        <w:t>基金基金</w:t>
      </w:r>
      <w:proofErr w:type="gramEnd"/>
      <w:r>
        <w:rPr>
          <w:rFonts w:ascii="宋体" w:hAnsi="宋体" w:cs="宋体"/>
          <w:kern w:val="0"/>
          <w:sz w:val="24"/>
          <w:szCs w:val="24"/>
        </w:rPr>
        <w:t>份额发售面值为人民币1.00元。</w:t>
      </w:r>
    </w:p>
    <w:p w14:paraId="1CE1A17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本基金认购费率按招募说明书及基金产品资料概要的规定执行。</w:t>
      </w:r>
    </w:p>
    <w:p w14:paraId="16FBBB6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八、基金存续期限</w:t>
      </w:r>
    </w:p>
    <w:p w14:paraId="525042B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不定期</w:t>
      </w:r>
    </w:p>
    <w:p w14:paraId="6C1C557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九、发行联接基金或增设新的基金份额类别</w:t>
      </w:r>
    </w:p>
    <w:p w14:paraId="1606F6F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不违反法律法规及对基金份额持有人利益无实质性不利影响的前提下，基金管理人可根据基金发展需要，与基金托管人协商一致后，募集并管理以本基金为目标ETF的一只或多只联接基金，或为本基金增设新的基金份额类别，而无需召开基金份额持有人大会审议，但需在调整实施之日前依照《信息披露办法》的有关规定在规定媒介上公告。</w:t>
      </w:r>
      <w:r>
        <w:rPr>
          <w:rFonts w:ascii="宋体" w:hAnsi="宋体" w:cs="宋体"/>
          <w:kern w:val="0"/>
          <w:sz w:val="24"/>
          <w:szCs w:val="24"/>
        </w:rPr>
        <w:br w:type="page"/>
      </w:r>
    </w:p>
    <w:p w14:paraId="243E3C6D" w14:textId="77777777" w:rsidR="006D7D7F" w:rsidRDefault="008841B6">
      <w:pPr>
        <w:pStyle w:val="1"/>
        <w:spacing w:before="0" w:after="0"/>
        <w:jc w:val="center"/>
        <w:rPr>
          <w:rFonts w:ascii="Times New Roman"/>
          <w:color w:val="auto"/>
          <w:sz w:val="30"/>
        </w:rPr>
      </w:pPr>
      <w:bookmarkStart w:id="43" w:name="_Toc2560000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43"/>
    </w:p>
    <w:p w14:paraId="02A0E663" w14:textId="77777777" w:rsidR="006D7D7F" w:rsidRDefault="006D7D7F"/>
    <w:p w14:paraId="71B30DB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基金份额的发售时间、发售方式、发售对象</w:t>
      </w:r>
    </w:p>
    <w:p w14:paraId="7D216C8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发售时间</w:t>
      </w:r>
    </w:p>
    <w:p w14:paraId="064DB2E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自基金份额发售之日起最长不得超过3个月，具体发售时间</w:t>
      </w:r>
      <w:proofErr w:type="gramStart"/>
      <w:r>
        <w:rPr>
          <w:rFonts w:ascii="宋体" w:hAnsi="宋体" w:cs="宋体"/>
          <w:kern w:val="0"/>
          <w:sz w:val="24"/>
          <w:szCs w:val="24"/>
        </w:rPr>
        <w:t>见基金</w:t>
      </w:r>
      <w:proofErr w:type="gramEnd"/>
      <w:r>
        <w:rPr>
          <w:rFonts w:ascii="宋体" w:hAnsi="宋体" w:cs="宋体"/>
          <w:kern w:val="0"/>
          <w:sz w:val="24"/>
          <w:szCs w:val="24"/>
        </w:rPr>
        <w:t>份额发售公告。</w:t>
      </w:r>
    </w:p>
    <w:p w14:paraId="6DD496B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发售方式</w:t>
      </w:r>
    </w:p>
    <w:p w14:paraId="0FA5D12E"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投资人可选择网上现金认购、网下现金认购和网下股票认购三种方式认购本基金。</w:t>
      </w:r>
    </w:p>
    <w:p w14:paraId="67569345"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网上现金认购是指投资人通过基金管理人指定的发售代理机构用深圳证券交易所网上系统以现金进行的认购。</w:t>
      </w:r>
    </w:p>
    <w:p w14:paraId="7F5CBBC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网下现金认购是指投资人通过基金管理人和/或</w:t>
      </w:r>
      <w:r w:rsidR="00BB0105">
        <w:rPr>
          <w:rFonts w:ascii="宋体" w:hAnsi="宋体" w:cs="宋体" w:hint="eastAsia"/>
          <w:kern w:val="0"/>
          <w:sz w:val="24"/>
          <w:szCs w:val="24"/>
        </w:rPr>
        <w:t>其</w:t>
      </w:r>
      <w:r>
        <w:rPr>
          <w:rFonts w:ascii="宋体" w:hAnsi="宋体" w:cs="宋体"/>
          <w:kern w:val="0"/>
          <w:sz w:val="24"/>
          <w:szCs w:val="24"/>
        </w:rPr>
        <w:t>指定的发售代理机构以现金进行的认购。</w:t>
      </w:r>
    </w:p>
    <w:p w14:paraId="239D5302"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网下股票认购是指投资人通过基金管理人和/或其指定的发售代理机构以股票进行的认购。</w:t>
      </w:r>
    </w:p>
    <w:p w14:paraId="65863BB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基金管理人可以根据具体情况调整本基金的发售方式，并在基金份额发售公告或相关公告中列明。</w:t>
      </w:r>
    </w:p>
    <w:p w14:paraId="69AE642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投资人应当在基金管理人和/或其指定发售代理机构办理基金发售业务的营业场所，或者按基金管理人或发售代理机构提供的方式办理基金份额的认购。销售机构的具体名单详见基金管理人网站届时公示的基金销售机构名录。</w:t>
      </w:r>
    </w:p>
    <w:p w14:paraId="62440EB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基金管理人可依据实际情况增减、变更销售机构，并在基金管理人网站公示。</w:t>
      </w:r>
    </w:p>
    <w:p w14:paraId="67F6772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的确认以登记机构的确认结果为准。对于认购申请及认购份额的确认情况，投资者应及时查询并妥善行使合法权利，否则，由此产生的任何损失由投资者自行承担。</w:t>
      </w:r>
    </w:p>
    <w:p w14:paraId="7546BF4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发售对象</w:t>
      </w:r>
    </w:p>
    <w:p w14:paraId="36240C8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符合法律法规规定的可投资于证券投资基金的个人投资者、机构投资者和合格境外投资者以及法律法规或中国证监会允许购买证券投资基金的其他投资人。</w:t>
      </w:r>
    </w:p>
    <w:p w14:paraId="2000C6A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基金份额的认购</w:t>
      </w:r>
    </w:p>
    <w:p w14:paraId="58D1859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1、</w:t>
      </w:r>
      <w:r>
        <w:rPr>
          <w:rFonts w:ascii="宋体" w:hAnsi="宋体" w:cs="宋体"/>
          <w:kern w:val="0"/>
          <w:sz w:val="24"/>
          <w:szCs w:val="24"/>
        </w:rPr>
        <w:t>认购费用</w:t>
      </w:r>
    </w:p>
    <w:p w14:paraId="78FF40BB"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本基金的认购费率由基金管理人决定，并在招募说明书及基金产品资料概要中列示。基金认购费用不列入基金财产。</w:t>
      </w:r>
    </w:p>
    <w:p w14:paraId="7363335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2、募集期资金和股票的处理方式</w:t>
      </w:r>
    </w:p>
    <w:p w14:paraId="3FB4FED9"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募集期间募集的资金存入专门账户，在基金募集行为结束前，任何人不得动用。投资人以股票认购的，基金募集期的股票应予以冻结；网下股票认购所募集的股票在网下股票认购日至登记机构进行股票过户日的冻结期间所产生的权益归投资人所有。</w:t>
      </w:r>
    </w:p>
    <w:p w14:paraId="1DA1A2E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基金认购份额的计算</w:t>
      </w:r>
    </w:p>
    <w:p w14:paraId="5CF22F4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基金认购份额具体的计算方法在招募说明书中列示。</w:t>
      </w:r>
    </w:p>
    <w:p w14:paraId="520BE68B"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基金份额认购数额的限制</w:t>
      </w:r>
    </w:p>
    <w:p w14:paraId="2D984E1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基金管理人可以对投资者的认购数额进行限制，具体限制和处理方式请参看招募说明书或相关公告。</w:t>
      </w:r>
      <w:r>
        <w:rPr>
          <w:rStyle w:val="custom"/>
          <w:rFonts w:ascii="宋体" w:hAnsi="宋体" w:cs="宋体"/>
          <w:kern w:val="0"/>
          <w:sz w:val="24"/>
          <w:szCs w:val="24"/>
        </w:rPr>
        <w:t>基金管理人可以对募集期间的本基金募集规模设置上限。募集期内超过募集规模上限时，基金管理人可以采用比例确认或其他方式进行确认，具体办法参见基金份额发售公告或相关公告。</w:t>
      </w:r>
    </w:p>
    <w:p w14:paraId="46F8C24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三、基金份额认购的其他具体规定</w:t>
      </w:r>
    </w:p>
    <w:p w14:paraId="5041727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投资人认购原则、认购时间安排、投资人认购应提交的文件和办理的手续、募集期利息的处理方式等事项，由基金管理人根据相关法律法规以及本基金合同的规定，在招募说明书或基金份额发售公告中确定并披露。</w:t>
      </w:r>
      <w:r>
        <w:rPr>
          <w:rFonts w:ascii="宋体" w:hAnsi="宋体" w:cs="宋体"/>
          <w:kern w:val="0"/>
          <w:sz w:val="24"/>
          <w:szCs w:val="24"/>
        </w:rPr>
        <w:br w:type="page"/>
      </w:r>
    </w:p>
    <w:p w14:paraId="79D1D955" w14:textId="77777777" w:rsidR="006D7D7F" w:rsidRDefault="008841B6">
      <w:pPr>
        <w:pStyle w:val="1"/>
        <w:spacing w:before="0" w:after="0"/>
        <w:jc w:val="center"/>
        <w:rPr>
          <w:rFonts w:ascii="Times New Roman"/>
          <w:color w:val="auto"/>
          <w:sz w:val="30"/>
        </w:rPr>
      </w:pPr>
      <w:bookmarkStart w:id="44" w:name="_Toc25600000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44"/>
    </w:p>
    <w:p w14:paraId="028B8D5D" w14:textId="77777777" w:rsidR="006D7D7F" w:rsidRDefault="006D7D7F"/>
    <w:p w14:paraId="3EBAE973" w14:textId="77777777" w:rsidR="006D7D7F" w:rsidRDefault="008841B6">
      <w:pPr>
        <w:pStyle w:val="div"/>
        <w:spacing w:line="360" w:lineRule="auto"/>
        <w:ind w:firstLine="480"/>
        <w:jc w:val="left"/>
        <w:rPr>
          <w:rFonts w:eastAsia="Times New Roman"/>
          <w:kern w:val="0"/>
          <w:sz w:val="24"/>
          <w:szCs w:val="24"/>
        </w:rPr>
      </w:pPr>
      <w:r>
        <w:rPr>
          <w:rFonts w:ascii="宋体" w:hAnsi="宋体" w:cs="宋体"/>
          <w:kern w:val="0"/>
          <w:sz w:val="24"/>
          <w:szCs w:val="24"/>
        </w:rPr>
        <w:t>一、基金备案的条件</w:t>
      </w:r>
    </w:p>
    <w:p w14:paraId="239AB14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本基金自基金份额发售之日起3个月内，在基金募集份额总额不少于2亿份，基金募集金额（含网下股票认购所募集的股票按基金合同约定的估值方法计算的价值）不少于2亿元人民币</w:t>
      </w:r>
      <w:proofErr w:type="gramStart"/>
      <w:r>
        <w:rPr>
          <w:rFonts w:ascii="宋体" w:hAnsi="宋体" w:cs="宋体"/>
          <w:kern w:val="0"/>
          <w:sz w:val="24"/>
          <w:szCs w:val="24"/>
        </w:rPr>
        <w:t>且基金</w:t>
      </w:r>
      <w:proofErr w:type="gramEnd"/>
      <w:r>
        <w:rPr>
          <w:rFonts w:ascii="宋体" w:hAnsi="宋体" w:cs="宋体"/>
          <w:kern w:val="0"/>
          <w:sz w:val="24"/>
          <w:szCs w:val="24"/>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08ED83E"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所募集的股票应予以冻结。</w:t>
      </w:r>
    </w:p>
    <w:p w14:paraId="030A7CE6"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二、基金合同不能生效时募集资金及股票的处理方式</w:t>
      </w:r>
    </w:p>
    <w:p w14:paraId="446623C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如果募集期限届满，未满足基金备案条件，基金管理人应当承担下列责任：</w:t>
      </w:r>
    </w:p>
    <w:p w14:paraId="1D774C5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1、以其固有财产承担因募集行为而产生的债务和费用；</w:t>
      </w:r>
    </w:p>
    <w:p w14:paraId="04B7817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2、在基金募集期限届满后30日内返还投资者已缴纳的款项，并加计银行同期活期存款利息；</w:t>
      </w:r>
    </w:p>
    <w:p w14:paraId="0EED808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48678E0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47C0B97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三、基金存续期内的基金份额持有人数量和资产规模</w:t>
      </w:r>
    </w:p>
    <w:p w14:paraId="479743D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w:t>
      </w:r>
      <w:r>
        <w:rPr>
          <w:rFonts w:ascii="宋体" w:hAnsi="宋体" w:cs="宋体"/>
          <w:kern w:val="0"/>
          <w:sz w:val="24"/>
          <w:szCs w:val="24"/>
        </w:rPr>
        <w:lastRenderedPageBreak/>
        <w:t>国证监会报告并提出解决方案，如持续运作、转换运作方式、与其他基金合并或者终止基金合同等，并在6个月内召集基金份额持有人大会。</w:t>
      </w:r>
    </w:p>
    <w:p w14:paraId="1113ACB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法律法规或中国证监会另有规定时，从其规定。</w:t>
      </w:r>
      <w:r>
        <w:rPr>
          <w:rFonts w:ascii="宋体" w:hAnsi="宋体" w:cs="宋体"/>
          <w:kern w:val="0"/>
          <w:sz w:val="24"/>
          <w:szCs w:val="24"/>
        </w:rPr>
        <w:br w:type="page"/>
      </w:r>
    </w:p>
    <w:p w14:paraId="3AD58EC5" w14:textId="77777777" w:rsidR="006D7D7F" w:rsidRDefault="008841B6">
      <w:pPr>
        <w:pStyle w:val="1"/>
        <w:spacing w:before="0" w:after="0"/>
        <w:jc w:val="center"/>
        <w:rPr>
          <w:rFonts w:ascii="Times New Roman"/>
          <w:color w:val="auto"/>
          <w:sz w:val="30"/>
        </w:rPr>
      </w:pPr>
      <w:bookmarkStart w:id="45" w:name="_Toc25600000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基金份额折算与变更登记</w:t>
      </w:r>
      <w:bookmarkEnd w:id="45"/>
    </w:p>
    <w:p w14:paraId="2DD2EE70" w14:textId="77777777" w:rsidR="006D7D7F" w:rsidRDefault="006D7D7F"/>
    <w:p w14:paraId="1012147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基金合同生效后，为了更好的跟踪标的指数和提高交易便利，本基金可以进行份额折算。</w:t>
      </w:r>
    </w:p>
    <w:p w14:paraId="20A88BB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一、基金份额折算的时间</w:t>
      </w:r>
    </w:p>
    <w:p w14:paraId="7D0423C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基金管理人应事先确定基金份额折算日，并依照《信息披露办法》的有关规定提前公告。</w:t>
      </w:r>
    </w:p>
    <w:p w14:paraId="22DD434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二、基金份额折算的原则</w:t>
      </w:r>
    </w:p>
    <w:p w14:paraId="1D6B382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基金份额折算由基金管理人向登记机构申请办理，并由登记机构进行基金份额的变更登记。</w:t>
      </w:r>
    </w:p>
    <w:p w14:paraId="355570C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折算后，本基金的基金份额总额与基金份额持有人持有的基金份额数额将发生调整，但调整后的基金份额持有人持有的基金份额所代表的基金资产占基金总资产的比例不发生变化。除因尾数处理而产生的损益外，基金份额折算对基金份额持有人的权益无实质性影响，无需召开基金份额持有人大会审议。基金份额折算后，基金份额持有人将按照折算后的基金份额享有权利并承担义务。</w:t>
      </w:r>
    </w:p>
    <w:p w14:paraId="29D468D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如果基金份额折算过程中发生不可抗力，基金管理人可延迟办理基金份额折算。</w:t>
      </w:r>
    </w:p>
    <w:p w14:paraId="54C8000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三、基金份额折算的方法</w:t>
      </w:r>
    </w:p>
    <w:p w14:paraId="17B64EF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基金份额折算的具体方法在份额折算公告中列示。</w:t>
      </w:r>
    </w:p>
    <w:p w14:paraId="4800DAB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四、如未来本基金增加基金份额的类别，基金管理人在实施份额折算时，可对全部份额类别进行折算，也可根据需要只对其中部分类别的份额进行折算。如本基金对部分份额类别进行折算，对于涉及投票权、提议</w:t>
      </w:r>
      <w:proofErr w:type="gramStart"/>
      <w:r>
        <w:rPr>
          <w:rFonts w:ascii="宋体" w:hAnsi="宋体" w:cs="宋体"/>
          <w:kern w:val="0"/>
          <w:sz w:val="24"/>
          <w:szCs w:val="24"/>
        </w:rPr>
        <w:t>召</w:t>
      </w:r>
      <w:proofErr w:type="gramEnd"/>
      <w:r>
        <w:rPr>
          <w:rFonts w:ascii="宋体" w:hAnsi="宋体" w:cs="宋体"/>
          <w:kern w:val="0"/>
          <w:sz w:val="24"/>
          <w:szCs w:val="24"/>
        </w:rPr>
        <w:t>集权、召集权、计算到会或出具表决意见的持有人所代表的基金份额数量、表决权、基金财产清算等需要统计基金份额持有人所持份额及其占总份额比例时，每一份未折算的基金份额与固定比例的已折算基金份额代表同等权利，其中固定比例指折算比例。</w:t>
      </w:r>
      <w:r>
        <w:rPr>
          <w:rFonts w:ascii="宋体" w:hAnsi="宋体" w:cs="宋体"/>
          <w:kern w:val="0"/>
          <w:sz w:val="24"/>
          <w:szCs w:val="24"/>
        </w:rPr>
        <w:br w:type="page"/>
      </w:r>
    </w:p>
    <w:p w14:paraId="63D4392F" w14:textId="77777777" w:rsidR="006D7D7F" w:rsidRDefault="008841B6">
      <w:pPr>
        <w:pStyle w:val="1"/>
        <w:spacing w:before="0" w:after="0"/>
        <w:jc w:val="center"/>
        <w:rPr>
          <w:rFonts w:ascii="Times New Roman"/>
          <w:color w:val="auto"/>
          <w:sz w:val="30"/>
        </w:rPr>
      </w:pPr>
      <w:bookmarkStart w:id="46" w:name="_Toc25600000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基金份额的上市交易</w:t>
      </w:r>
      <w:bookmarkEnd w:id="46"/>
    </w:p>
    <w:p w14:paraId="5FA2A693" w14:textId="77777777" w:rsidR="006D7D7F" w:rsidRDefault="006D7D7F"/>
    <w:p w14:paraId="7DDD41D2" w14:textId="77777777" w:rsidR="006D7D7F" w:rsidRDefault="006D7D7F">
      <w:pPr>
        <w:pStyle w:val="p"/>
        <w:spacing w:line="360" w:lineRule="auto"/>
        <w:ind w:firstLine="480"/>
        <w:rPr>
          <w:rFonts w:ascii="宋体" w:hAnsi="宋体" w:cs="宋体"/>
          <w:kern w:val="0"/>
          <w:sz w:val="24"/>
          <w:szCs w:val="24"/>
        </w:rPr>
      </w:pPr>
    </w:p>
    <w:p w14:paraId="2C330F20"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一、基金份额上市</w:t>
      </w:r>
    </w:p>
    <w:p w14:paraId="3DD7FF97"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基金合同生效后，具备下列条件的，基金管理人可依据《深圳证券交易所证券投资基金上市规则》，向深圳证券交易所申请基金份额上市：</w:t>
      </w:r>
    </w:p>
    <w:p w14:paraId="227509D7"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1、基金场内募集金额（含募集的股票市值）不低于2亿元人民币；</w:t>
      </w:r>
    </w:p>
    <w:p w14:paraId="7F07499B" w14:textId="77777777" w:rsidR="006D7D7F" w:rsidRDefault="008841B6">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场内基金份额持有人人数不少于1,000人；</w:t>
      </w:r>
    </w:p>
    <w:p w14:paraId="559FAA9B" w14:textId="77777777" w:rsidR="006D7D7F" w:rsidRDefault="008841B6">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法律法规及深圳证券交易所相关业务规则规定的其他条件。</w:t>
      </w:r>
    </w:p>
    <w:p w14:paraId="6960DA57"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基金获准在深圳证券交易所上市的，基金管理人应按照相关规定发布基金上市交易公告书。</w:t>
      </w:r>
    </w:p>
    <w:p w14:paraId="43A53A3C" w14:textId="77777777" w:rsidR="006D7D7F" w:rsidRDefault="008841B6">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二、</w:t>
      </w:r>
      <w:r>
        <w:rPr>
          <w:rFonts w:ascii="宋体" w:hAnsi="宋体" w:cs="宋体"/>
          <w:kern w:val="0"/>
          <w:sz w:val="24"/>
          <w:szCs w:val="24"/>
        </w:rPr>
        <w:t>基金份额的上市交易</w:t>
      </w:r>
    </w:p>
    <w:p w14:paraId="34B7E897"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基金份额在深圳证券交易所的上市交易需遵照《深圳证券交易所交易规则》、《深圳证券交易所证券投资基金上市规则》、《深圳证券交易所证券投资基金交易和申购赎回实施细则》等有关规定。</w:t>
      </w:r>
    </w:p>
    <w:p w14:paraId="0E62A5B3" w14:textId="77777777" w:rsidR="006D7D7F" w:rsidRDefault="008841B6">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三、</w:t>
      </w:r>
      <w:r>
        <w:rPr>
          <w:rFonts w:ascii="宋体" w:hAnsi="宋体" w:cs="宋体"/>
          <w:kern w:val="0"/>
          <w:sz w:val="24"/>
          <w:szCs w:val="24"/>
        </w:rPr>
        <w:t>上市交易的停复牌、暂停上市、恢复上市和终止上市</w:t>
      </w:r>
    </w:p>
    <w:p w14:paraId="797B8A62"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上市基金份额的停复牌、暂停上市、恢复上市和终止上市按照《深圳证券交易所证券投资基金上市规则》的相关规定执行。</w:t>
      </w:r>
    </w:p>
    <w:p w14:paraId="1378C0F3"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当本基金发生深圳证券交易所相关规定所规定的因不再具备上市条件而应当终止上市的情形时，本基金可由交易型开放式指数证券投资基金变更为跟踪标的指数的非上市的开放式指数基金，而无需召开基金份额持有人大会审议。届时，基金管理人需制定基金终止上市后场内份额的处理规则、按照非上市的开放式指数基金调整相应的业务规则，并提前公告。</w:t>
      </w:r>
    </w:p>
    <w:p w14:paraId="1A8EDAC2"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若届时本基金管理人已有以该指数作为标的指数的指数基金，</w:t>
      </w:r>
      <w:proofErr w:type="gramStart"/>
      <w:r>
        <w:rPr>
          <w:rFonts w:ascii="宋体" w:hAnsi="宋体" w:cs="宋体"/>
          <w:kern w:val="0"/>
          <w:sz w:val="24"/>
          <w:szCs w:val="24"/>
        </w:rPr>
        <w:t>则基金</w:t>
      </w:r>
      <w:proofErr w:type="gramEnd"/>
      <w:r>
        <w:rPr>
          <w:rFonts w:ascii="宋体" w:hAnsi="宋体" w:cs="宋体"/>
          <w:kern w:val="0"/>
          <w:sz w:val="24"/>
          <w:szCs w:val="24"/>
        </w:rPr>
        <w:t>管理人将本着维护基金份额持有人合法权益的原则，履行适当的程序后与该指数基金合并或者选取其他合适的指数作为标的指数。</w:t>
      </w:r>
    </w:p>
    <w:p w14:paraId="756B0BF5" w14:textId="77777777" w:rsidR="006D7D7F" w:rsidRDefault="008841B6">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四、</w:t>
      </w:r>
      <w:r>
        <w:rPr>
          <w:rFonts w:ascii="宋体" w:hAnsi="宋体" w:cs="宋体"/>
          <w:kern w:val="0"/>
          <w:sz w:val="24"/>
          <w:szCs w:val="24"/>
        </w:rPr>
        <w:t>基金份额参考净值（IOPV）的计算与公告详见本基金《招募说明书》。</w:t>
      </w:r>
    </w:p>
    <w:p w14:paraId="26B69AC9" w14:textId="77777777" w:rsidR="006D7D7F" w:rsidRDefault="008841B6">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五、</w:t>
      </w:r>
      <w:r>
        <w:rPr>
          <w:rFonts w:ascii="宋体" w:hAnsi="宋体" w:cs="宋体"/>
          <w:kern w:val="0"/>
          <w:sz w:val="24"/>
          <w:szCs w:val="24"/>
        </w:rPr>
        <w:t>相关法律法规、中国证监会及深圳证券交易所对基金上市交易的规则等相关规定内容进行调整的，基金合同相应予以修改，且此项修改无须召开基金份</w:t>
      </w:r>
      <w:r>
        <w:rPr>
          <w:rFonts w:ascii="宋体" w:hAnsi="宋体" w:cs="宋体"/>
          <w:kern w:val="0"/>
          <w:sz w:val="24"/>
          <w:szCs w:val="24"/>
        </w:rPr>
        <w:lastRenderedPageBreak/>
        <w:t>额持有人大会审议。</w:t>
      </w:r>
    </w:p>
    <w:p w14:paraId="465CD055" w14:textId="77777777" w:rsidR="006D7D7F" w:rsidRDefault="008841B6">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六、</w:t>
      </w:r>
      <w:r>
        <w:rPr>
          <w:rFonts w:ascii="宋体" w:hAnsi="宋体" w:cs="宋体"/>
          <w:kern w:val="0"/>
          <w:sz w:val="24"/>
          <w:szCs w:val="24"/>
        </w:rPr>
        <w:t>若深圳证券交易所、中国证券登记结算有限责任公司增加了基金上市交易的新功能，本基金管理人可以在履行适当的程序后增加相应功能。</w:t>
      </w:r>
    </w:p>
    <w:p w14:paraId="71B1395F" w14:textId="77777777" w:rsidR="006D7D7F" w:rsidRDefault="008841B6">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七、</w:t>
      </w:r>
      <w:r>
        <w:rPr>
          <w:rFonts w:ascii="宋体" w:hAnsi="宋体" w:cs="宋体"/>
          <w:kern w:val="0"/>
          <w:sz w:val="24"/>
          <w:szCs w:val="24"/>
        </w:rPr>
        <w:t>在不违反法律法规的规定及对基金份额持有人利益无实质性不利影响的前提下，本基金可以申请在包括境外交易所在内的其他交易场所上市交易。</w:t>
      </w:r>
      <w:r>
        <w:rPr>
          <w:rFonts w:ascii="宋体" w:hAnsi="宋体" w:cs="宋体"/>
          <w:kern w:val="0"/>
          <w:sz w:val="24"/>
          <w:szCs w:val="24"/>
        </w:rPr>
        <w:br w:type="page"/>
      </w:r>
    </w:p>
    <w:p w14:paraId="36F2F250" w14:textId="77777777" w:rsidR="006D7D7F" w:rsidRDefault="008841B6">
      <w:pPr>
        <w:pStyle w:val="1"/>
        <w:spacing w:before="0" w:after="0"/>
        <w:jc w:val="center"/>
        <w:rPr>
          <w:rFonts w:ascii="Times New Roman"/>
          <w:color w:val="auto"/>
          <w:sz w:val="30"/>
        </w:rPr>
      </w:pPr>
      <w:bookmarkStart w:id="47" w:name="_Toc25600000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基金份额的申购与赎回</w:t>
      </w:r>
      <w:bookmarkEnd w:id="47"/>
    </w:p>
    <w:p w14:paraId="2146CA32" w14:textId="77777777" w:rsidR="006D7D7F" w:rsidRDefault="006D7D7F"/>
    <w:p w14:paraId="33C79F8E"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本基金目前仅采取深圳证券交易所跨市场股票ETF</w:t>
      </w:r>
      <w:proofErr w:type="gramStart"/>
      <w:r>
        <w:rPr>
          <w:rStyle w:val="custom"/>
          <w:rFonts w:ascii="宋体" w:hAnsi="宋体" w:cs="宋体"/>
          <w:kern w:val="0"/>
          <w:sz w:val="24"/>
          <w:szCs w:val="24"/>
        </w:rPr>
        <w:t>场内申赎模式</w:t>
      </w:r>
      <w:proofErr w:type="gramEnd"/>
      <w:r>
        <w:rPr>
          <w:rStyle w:val="custom"/>
          <w:rFonts w:ascii="宋体" w:hAnsi="宋体" w:cs="宋体"/>
          <w:kern w:val="0"/>
          <w:sz w:val="24"/>
          <w:szCs w:val="24"/>
        </w:rPr>
        <w:t>，未来基金管理人可根据基金发展需要，开通其他深圳证券交易所、登记机构允许</w:t>
      </w:r>
      <w:proofErr w:type="gramStart"/>
      <w:r>
        <w:rPr>
          <w:rStyle w:val="custom"/>
          <w:rFonts w:ascii="宋体" w:hAnsi="宋体" w:cs="宋体"/>
          <w:kern w:val="0"/>
          <w:sz w:val="24"/>
          <w:szCs w:val="24"/>
        </w:rPr>
        <w:t>的申赎模式</w:t>
      </w:r>
      <w:proofErr w:type="gramEnd"/>
      <w:r>
        <w:rPr>
          <w:rStyle w:val="custom"/>
          <w:rFonts w:ascii="宋体" w:hAnsi="宋体" w:cs="宋体"/>
          <w:kern w:val="0"/>
          <w:sz w:val="24"/>
          <w:szCs w:val="24"/>
        </w:rPr>
        <w:t>，届时将发布公告予以披露并对本基金的招募说明书予以更新，无须召开基金份额持有人大会审议。</w:t>
      </w:r>
    </w:p>
    <w:p w14:paraId="0C40D7B1"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一、申购和赎回场所</w:t>
      </w:r>
    </w:p>
    <w:p w14:paraId="2E9F5142"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投资人应当在申购赎回代理券商办理基金份额申购、赎回业务的营业场所或按申购赎回代理券商提供的其他方式办理基金的份额申购和赎回。</w:t>
      </w:r>
    </w:p>
    <w:p w14:paraId="30FD0E0B"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基金管理人在开始办理申购、赎回业务前公告申购赎回代理券商的名单，并可根据情况变更或增减基金申购赎回代理券商，并在基金管理人网站公示。</w:t>
      </w:r>
    </w:p>
    <w:p w14:paraId="77109741"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二、申购和赎回的开放日及时间</w:t>
      </w:r>
    </w:p>
    <w:p w14:paraId="5287A1F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1、开放日及开放时间</w:t>
      </w:r>
    </w:p>
    <w:p w14:paraId="385D0BE5"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649E2C80"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231E2250"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2、申购、赎回开始日及业务办理时间</w:t>
      </w:r>
    </w:p>
    <w:p w14:paraId="56171B8C"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14:paraId="4F88A472"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基金管理人自基金合同生效之日起不超过3个月开始办理赎回，具体业务办理时间在开放赎回业务的公告中规定。</w:t>
      </w:r>
    </w:p>
    <w:p w14:paraId="48199A6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本基金可在基金上市交易之前开始办理申购、赎回，但在基金申请上市期间，可暂停办理申购、赎回。</w:t>
      </w:r>
    </w:p>
    <w:p w14:paraId="19455E5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15406820"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本基金在基金合同生效后、开放日常申购之前，可向本基金联接基金开通特殊申购，申购价格以特殊申购日的基金份额净值为基准计算，按金额申购，不收取与申购相关的费用和成本。</w:t>
      </w:r>
    </w:p>
    <w:p w14:paraId="62E76286"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三、申购与赎回的原则</w:t>
      </w:r>
    </w:p>
    <w:p w14:paraId="61BB92C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1、本基金采用份额申购和份额赎回的方式，即申购和赎回均以份额申请；</w:t>
      </w:r>
    </w:p>
    <w:p w14:paraId="73FAF64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2、本基金申购对价、赎回对价包括组合证券、现金替代、现金差额及其他对价；</w:t>
      </w:r>
    </w:p>
    <w:p w14:paraId="7DC69951"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3、申购、赎回申请提交后不得撤销；</w:t>
      </w:r>
    </w:p>
    <w:p w14:paraId="46F4BA20"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4、申购、赎回应遵守深圳证券交易所和中国证券登记结算有限责任公司的相关业务规则和规定；</w:t>
      </w:r>
    </w:p>
    <w:p w14:paraId="359547A6"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5、办理申购、赎回业务时，应当遵循基金份额持有人利益优先原则，确保投资者的合法权益不受损害并得到公平对待。</w:t>
      </w:r>
    </w:p>
    <w:p w14:paraId="3AEA85F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52224CB1"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四、申购与赎回的程序</w:t>
      </w:r>
    </w:p>
    <w:p w14:paraId="08E4F4BA"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1、申购和赎回的申请方式</w:t>
      </w:r>
    </w:p>
    <w:p w14:paraId="528D2F8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投资人必须根据申购赎回代理券商或基金管理人规定的程序，在开放日的具体业务办理时间内提出申购或赎回的申请。</w:t>
      </w:r>
    </w:p>
    <w:p w14:paraId="0D6625F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投资人在提交申购申请时须按申购赎回清单的规定备足申购对价，投资人在提交赎回申请时须持有足够的基金份额余额和现金，否则所提交的申购、赎回申请失败。</w:t>
      </w:r>
    </w:p>
    <w:p w14:paraId="22CB443B"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2、申购和赎回申请的确认</w:t>
      </w:r>
    </w:p>
    <w:p w14:paraId="6B055A8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人申购、赎回申请的确认根据登记机构的相关规定办理，具体参见本基金招募说明书。如投资人未能提供符合要求的申购对价，则申购申请失败。如基金份额持有人持有的符合要求的基金份额不足或未能根据要求准备足额的现金，或基金投资组合内不具备足额的符合要求的赎回对价，则赎回申请失败。</w:t>
      </w:r>
    </w:p>
    <w:p w14:paraId="476FF29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销售机构对申购、赎回申请的受理并不代表该申请一定成功，而仅代表销售机构确实接收到该申请。申购、赎回的确认以登记机构的确认结果为准。对于申购、赎回申请的确认情况，投资人应及时查询并妥善行使合法权利，否则，由此</w:t>
      </w:r>
      <w:r>
        <w:rPr>
          <w:rStyle w:val="custom"/>
          <w:rFonts w:ascii="宋体" w:hAnsi="宋体" w:cs="宋体"/>
          <w:kern w:val="0"/>
          <w:sz w:val="24"/>
          <w:szCs w:val="24"/>
        </w:rPr>
        <w:lastRenderedPageBreak/>
        <w:t>产生的任何损失由投资者自行承担。</w:t>
      </w:r>
    </w:p>
    <w:p w14:paraId="2CBA988C"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3、申购和赎回的清算交收与登记</w:t>
      </w:r>
    </w:p>
    <w:p w14:paraId="0D7AF8D9"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本基金申购赎回过程中涉及的基金份额、组合证券、现金替代、现金差额及其他对价的清算交收适用深圳证券交易所、中国证券登记结算有限责任公司发布的相关业务规则和参与各方相关协议的有关规定。</w:t>
      </w:r>
    </w:p>
    <w:p w14:paraId="41A942F9"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具体清算交收和登记办理时间将在招募说明书中载明。</w:t>
      </w:r>
    </w:p>
    <w:p w14:paraId="157B0F6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投资者应按照本基金合同的约定和销售机构的规定按时足额支付应付的现金差额和现金替代补款。因投资者原因导致现金差额或现金替代补款未能按时</w:t>
      </w:r>
      <w:proofErr w:type="gramStart"/>
      <w:r>
        <w:rPr>
          <w:rStyle w:val="custom"/>
          <w:rFonts w:ascii="宋体" w:hAnsi="宋体" w:cs="宋体"/>
          <w:kern w:val="0"/>
          <w:sz w:val="24"/>
          <w:szCs w:val="24"/>
        </w:rPr>
        <w:t>足额交</w:t>
      </w:r>
      <w:proofErr w:type="gramEnd"/>
      <w:r>
        <w:rPr>
          <w:rStyle w:val="custom"/>
          <w:rFonts w:ascii="宋体" w:hAnsi="宋体" w:cs="宋体"/>
          <w:kern w:val="0"/>
          <w:sz w:val="24"/>
          <w:szCs w:val="24"/>
        </w:rPr>
        <w:t>收的，基金管理人有权为基金的利益向该投资者追偿，并要求其承担由此导致的其他基金份额持有人或基金资产的损失。</w:t>
      </w:r>
    </w:p>
    <w:p w14:paraId="2D0A4D5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如果登记机构和基金管理人在清算交收时发现不能正常履约的情形，则依据深圳证券交易所、中国证券登记结算有限责任公司发布的相关业务规则和参与各方相关协议的有关规定进行处理。</w:t>
      </w:r>
    </w:p>
    <w:p w14:paraId="7F46C10C"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和登记机构可在法律法规允许的范围内，在不影响基金份额持有人实质性利益的前提下，对上述申购赎回的程序以及清算交收和登记的办理时间、方式、处理规则等进行调整，并在开始实施前按照《信息披露办法》的有关规定在规定媒介上予以公告。</w:t>
      </w:r>
    </w:p>
    <w:p w14:paraId="5868E88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五、申购和赎回的数量限制</w:t>
      </w:r>
    </w:p>
    <w:p w14:paraId="4BACCCDF"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1、投资者参与本基金的日常申购、赎回，需按最小申购、赎回单位的整数</w:t>
      </w:r>
      <w:proofErr w:type="gramStart"/>
      <w:r>
        <w:rPr>
          <w:rStyle w:val="custom"/>
          <w:rFonts w:ascii="宋体" w:hAnsi="宋体" w:cs="宋体"/>
          <w:kern w:val="0"/>
          <w:sz w:val="24"/>
          <w:szCs w:val="24"/>
        </w:rPr>
        <w:t>倍</w:t>
      </w:r>
      <w:proofErr w:type="gramEnd"/>
      <w:r>
        <w:rPr>
          <w:rStyle w:val="custom"/>
          <w:rFonts w:ascii="宋体" w:hAnsi="宋体" w:cs="宋体"/>
          <w:kern w:val="0"/>
          <w:sz w:val="24"/>
          <w:szCs w:val="24"/>
        </w:rPr>
        <w:t>提交申请。最小申购、赎回单位由基金管理人确定和调整，具体规定请参见招募说明书或相关公告。</w:t>
      </w:r>
    </w:p>
    <w:p w14:paraId="3F3C5457"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基金管理人可以规定本基金当日申购及赎回的上限。基金管理人可以规定投资人每个基金交易账户的最低基金份额余额。基金管理人可以规定单个投资人累计持有的基金份额上限。具体规定请参见申购赎回清单或相关公告。</w:t>
      </w:r>
    </w:p>
    <w:p w14:paraId="087C527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当接受申购申请对存量基金份额持有人利益构成潜在重大不利影响时，基金管理人应当采取设定单一投资者申购份额上限、基金规模上限、基金单日申购份额或净申购比例上限、拒绝大额申购、暂停基金申购等措施，切实保护存量基金份额持有人的合法权益。基金管理人基于投资运作与风险控制的需要，可采取上述措施对基金规模予以控制。具体</w:t>
      </w:r>
      <w:proofErr w:type="gramStart"/>
      <w:r>
        <w:rPr>
          <w:rStyle w:val="custom"/>
          <w:rFonts w:ascii="宋体" w:hAnsi="宋体" w:cs="宋体"/>
          <w:kern w:val="0"/>
          <w:sz w:val="24"/>
          <w:szCs w:val="24"/>
        </w:rPr>
        <w:t>见基金</w:t>
      </w:r>
      <w:proofErr w:type="gramEnd"/>
      <w:r>
        <w:rPr>
          <w:rStyle w:val="custom"/>
          <w:rFonts w:ascii="宋体" w:hAnsi="宋体" w:cs="宋体"/>
          <w:kern w:val="0"/>
          <w:sz w:val="24"/>
          <w:szCs w:val="24"/>
        </w:rPr>
        <w:t>管理人相关公告。</w:t>
      </w:r>
    </w:p>
    <w:p w14:paraId="2474764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4、基金管理人可在法律法规允许的情况下，调整上述规定申购和赎回数量限制或新增基金规模控制措施。基金管理人必须在调整实施前依照《信息披露办法》的有关规定在规定媒介上公告。</w:t>
      </w:r>
    </w:p>
    <w:p w14:paraId="22EB1E00"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六、申购和赎回的对价、费用及其用途</w:t>
      </w:r>
    </w:p>
    <w:p w14:paraId="30EA980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本基金份额净值的计算，保留到小数点后4位，小数点后第5位四舍五入，由此产生的收益或损失由基金财产承担。T日的基金份额净值在当天收市后计算，并根据基金合同的约定公告。遇特殊情况，经履行适当程序，可以适当延迟计算或公告。</w:t>
      </w:r>
    </w:p>
    <w:p w14:paraId="32D81173" w14:textId="77777777" w:rsidR="006D7D7F" w:rsidRDefault="008841B6">
      <w:pPr>
        <w:pStyle w:val="div"/>
        <w:spacing w:line="360" w:lineRule="auto"/>
        <w:ind w:firstLine="480"/>
        <w:rPr>
          <w:rStyle w:val="custom"/>
          <w:rFonts w:ascii="宋体" w:hAnsi="宋体" w:cs="宋体"/>
          <w:kern w:val="0"/>
          <w:sz w:val="24"/>
          <w:szCs w:val="24"/>
        </w:rPr>
      </w:pPr>
      <w:r>
        <w:rPr>
          <w:rStyle w:val="serial-tag"/>
          <w:rFonts w:ascii="宋体" w:hAnsi="宋体" w:cs="宋体"/>
          <w:kern w:val="0"/>
          <w:sz w:val="24"/>
          <w:szCs w:val="24"/>
        </w:rPr>
        <w:t>2、</w:t>
      </w:r>
      <w:r>
        <w:rPr>
          <w:rStyle w:val="custom"/>
          <w:rFonts w:ascii="宋体" w:hAnsi="宋体" w:cs="宋体"/>
          <w:kern w:val="0"/>
          <w:sz w:val="24"/>
          <w:szCs w:val="24"/>
        </w:rPr>
        <w:t>申购对价、赎回对</w:t>
      </w:r>
      <w:proofErr w:type="gramStart"/>
      <w:r>
        <w:rPr>
          <w:rStyle w:val="custom"/>
          <w:rFonts w:ascii="宋体" w:hAnsi="宋体" w:cs="宋体"/>
          <w:kern w:val="0"/>
          <w:sz w:val="24"/>
          <w:szCs w:val="24"/>
        </w:rPr>
        <w:t>价根据</w:t>
      </w:r>
      <w:proofErr w:type="gramEnd"/>
      <w:r>
        <w:rPr>
          <w:rStyle w:val="custom"/>
          <w:rFonts w:ascii="宋体" w:hAnsi="宋体" w:cs="宋体"/>
          <w:kern w:val="0"/>
          <w:sz w:val="24"/>
          <w:szCs w:val="24"/>
        </w:rPr>
        <w:t>申购赎回清单和投资人申购、赎回的基金份额数额确定。</w:t>
      </w:r>
    </w:p>
    <w:p w14:paraId="262243BE"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申购对价是指投资人申购时应交付的组合证券、现金替代、现金差额及其他对价。赎回对价是指投资人赎回时，基金管理人应交付给投资人的组合证券、现金替代、现金差额及其他对价。</w:t>
      </w:r>
    </w:p>
    <w:p w14:paraId="0B8D9722"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3、申购赎回清单由基金管理人编制。T日的申购赎回清单在当日深圳证券交易所开市前公告。申购赎回清单的内容与格式详见《招募说明书》。</w:t>
      </w:r>
    </w:p>
    <w:p w14:paraId="51EBB54A" w14:textId="77777777" w:rsidR="006D7D7F" w:rsidRDefault="008841B6">
      <w:pPr>
        <w:pStyle w:val="div"/>
        <w:spacing w:line="360" w:lineRule="auto"/>
        <w:ind w:firstLine="480"/>
        <w:rPr>
          <w:rFonts w:eastAsia="Times New Roman"/>
          <w:kern w:val="0"/>
          <w:sz w:val="24"/>
          <w:szCs w:val="24"/>
        </w:rPr>
      </w:pPr>
      <w:r>
        <w:rPr>
          <w:rStyle w:val="serial-tag"/>
          <w:rFonts w:ascii="宋体" w:hAnsi="宋体" w:cs="宋体"/>
          <w:kern w:val="0"/>
          <w:sz w:val="24"/>
          <w:szCs w:val="24"/>
        </w:rPr>
        <w:t>4、</w:t>
      </w:r>
      <w:r>
        <w:rPr>
          <w:rStyle w:val="divCharacter"/>
          <w:rFonts w:ascii="宋体" w:hAnsi="宋体" w:cs="宋体"/>
          <w:kern w:val="0"/>
          <w:sz w:val="24"/>
          <w:szCs w:val="24"/>
        </w:rPr>
        <w:t>投资者在申购或赎回时，申购赎回代理券商可按照一定标准收取佣金，其中包含证券交易所、登记机构等收取的相关费用，具体规定详见招募说明书或相关公告。</w:t>
      </w:r>
    </w:p>
    <w:p w14:paraId="5A96ABBA"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基金管理人可以在不违反相关法律法规且不影响基金份额持有人实质性利益的情况下对基金份额净值、申购赎回清单计算和公告时间进行调整并提前公告。</w:t>
      </w:r>
    </w:p>
    <w:p w14:paraId="6146E239"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七、拒绝或暂停申购的情形</w:t>
      </w:r>
    </w:p>
    <w:p w14:paraId="776194DF"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发生下列情况时，基金管理人可拒绝或暂停接受投资人的申购申请：</w:t>
      </w:r>
    </w:p>
    <w:p w14:paraId="75992BF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1、因不可抗力导致基金无法正常运作或者因不可抗力导致基金管理人无法接受投资人的申购申请。</w:t>
      </w:r>
    </w:p>
    <w:p w14:paraId="10398837"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2、发生基金合同规定的暂停基金资产估值情况时，基金管理人可暂停接受投资人的申购申请。</w:t>
      </w:r>
    </w:p>
    <w:p w14:paraId="0A2B70D6"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3、因特殊情况（包括但不限于相关证券/期货交易所依法决定临时停市、交易时间非正常停市）导致基金管理人无法计算当日基金资产净值或无法进行证券交易。</w:t>
      </w:r>
    </w:p>
    <w:p w14:paraId="3F9486D4"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4、接受某笔或某些申购申请可能会影响或损害现有基金份额持有人利益时。</w:t>
      </w:r>
    </w:p>
    <w:p w14:paraId="400538A0"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5、基金管理人可根据市场情况在申购赎回清单中设置申购份额上限，如果一笔新的申购申请被确认成功，会使本基金当日申购份额超过申购赎回清单中规定的申购份额上限时，该笔申购申请将被拒绝。</w:t>
      </w:r>
    </w:p>
    <w:p w14:paraId="235A2227"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6、基金资产规模过大，使基金管理人无法找到合适的投资品种，或证券市场价格发生大幅波动，或其他可能对基金业绩产生负面影响，或发生其他损害现有基金份额持有人利益的情形。</w:t>
      </w:r>
    </w:p>
    <w:p w14:paraId="53DCE55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7、当前一估值日基金资产净值50%以上的资产出现无可参考的活跃市场价格且采用估值技术</w:t>
      </w:r>
      <w:proofErr w:type="gramStart"/>
      <w:r>
        <w:rPr>
          <w:rStyle w:val="custom"/>
          <w:rFonts w:ascii="宋体" w:hAnsi="宋体" w:cs="宋体"/>
          <w:kern w:val="0"/>
          <w:sz w:val="24"/>
          <w:szCs w:val="24"/>
        </w:rPr>
        <w:t>仍导致</w:t>
      </w:r>
      <w:proofErr w:type="gramEnd"/>
      <w:r>
        <w:rPr>
          <w:rStyle w:val="custom"/>
          <w:rFonts w:ascii="宋体" w:hAnsi="宋体" w:cs="宋体"/>
          <w:kern w:val="0"/>
          <w:sz w:val="24"/>
          <w:szCs w:val="24"/>
        </w:rPr>
        <w:t>公允价值存在重大不确定性时，经与基金托管人协商确认后，基金管理人应当暂停接受基金申购申请。</w:t>
      </w:r>
    </w:p>
    <w:p w14:paraId="5C573D21"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8、基金管理人开市前因异常情况未能公布申购赎回清单、基金份额净值或者IOPV计算错误、申购赎回清单编制错误，或基金管理人在开市后发现基金份额参考净值计算错误。</w:t>
      </w:r>
    </w:p>
    <w:p w14:paraId="19D104D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9、相关证券交易所、申购赎回代理券商、登记机构等因异常情况无法办理申购，或者因指数编制机构或指数发布机构、相关证券交易所等因异常情况使申购赎回清单无法编制或编制不当。本项所称异常情况指无法预见并不可控制的情形，包括但不限于系统故障、网络故障、通讯故障、电力故障、数据错误等。</w:t>
      </w:r>
    </w:p>
    <w:p w14:paraId="02B45F04"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10、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w:t>
      </w:r>
    </w:p>
    <w:p w14:paraId="5CADCFE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11、基金所投资的投资品种的估值出现重大转变时。</w:t>
      </w:r>
    </w:p>
    <w:p w14:paraId="130EAF2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12、法律法规、深圳证券交易所规定或中国证监会认定的其他情形。</w:t>
      </w:r>
    </w:p>
    <w:p w14:paraId="35619BBF"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发生除上述第4、5、10项以外暂停申购情形之一</w:t>
      </w:r>
      <w:proofErr w:type="gramStart"/>
      <w:r>
        <w:rPr>
          <w:rStyle w:val="custom"/>
          <w:rFonts w:ascii="宋体" w:hAnsi="宋体" w:cs="宋体"/>
          <w:kern w:val="0"/>
          <w:sz w:val="24"/>
          <w:szCs w:val="24"/>
        </w:rPr>
        <w:t>且基金</w:t>
      </w:r>
      <w:proofErr w:type="gramEnd"/>
      <w:r>
        <w:rPr>
          <w:rStyle w:val="custom"/>
          <w:rFonts w:ascii="宋体" w:hAnsi="宋体" w:cs="宋体"/>
          <w:kern w:val="0"/>
          <w:sz w:val="24"/>
          <w:szCs w:val="24"/>
        </w:rPr>
        <w:t>管理人决定暂停接受投资人申购申请时，基金管理人应当根据有关规定在规定媒介上刊登暂停申购公告。如果投资人的申购申请被全部或部分拒绝的，被拒绝的申购对价将退还给投资人。在暂停申购的情况消除时，基金管理人应及时恢复申购业务的办理。</w:t>
      </w:r>
    </w:p>
    <w:p w14:paraId="7CA0B38B"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八、暂停赎回或延缓支付赎回对价的情形</w:t>
      </w:r>
    </w:p>
    <w:p w14:paraId="3C14CE70"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发生下列情形时，基金管理人可暂停接受投资人的赎回申请或延缓支付赎回对价：</w:t>
      </w:r>
    </w:p>
    <w:p w14:paraId="05406AB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1、因不可抗力导致基金管理人不能受理或办理基金份额持有人的赎回申请。</w:t>
      </w:r>
    </w:p>
    <w:p w14:paraId="134BBC84"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2、发生基金合同规定的暂停基金资产估值情况时，基金管理人可暂停接受投资人的赎回申请或延缓支付赎回对价。</w:t>
      </w:r>
    </w:p>
    <w:p w14:paraId="5B8BBDF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3、因特殊情况（包括但不限于相关证券/期货交易所依法决定临时停市、交易时间非正常停市）导致基金管理人无法计算当日基金资产净值或无法进行证券交易。</w:t>
      </w:r>
    </w:p>
    <w:p w14:paraId="133A3A05" w14:textId="6AA770A9" w:rsidR="006D7D7F" w:rsidRDefault="0000738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w:t>
      </w:r>
      <w:r w:rsidR="008841B6">
        <w:rPr>
          <w:rStyle w:val="custom"/>
          <w:rFonts w:ascii="宋体" w:hAnsi="宋体" w:cs="宋体"/>
          <w:kern w:val="0"/>
          <w:sz w:val="24"/>
          <w:szCs w:val="24"/>
        </w:rPr>
        <w:t>、发生继续接受赎回申请将损害现有基金份额持有人利益的情形时，基金管理人可暂停接受基金份额持有人的赎回申请。</w:t>
      </w:r>
    </w:p>
    <w:p w14:paraId="3BD09733" w14:textId="3499E853" w:rsidR="006D7D7F" w:rsidRDefault="0000738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w:t>
      </w:r>
      <w:r w:rsidR="008841B6">
        <w:rPr>
          <w:rStyle w:val="custom"/>
          <w:rFonts w:ascii="宋体" w:hAnsi="宋体" w:cs="宋体"/>
          <w:kern w:val="0"/>
          <w:sz w:val="24"/>
          <w:szCs w:val="24"/>
        </w:rPr>
        <w:t>、当前一估值日基金资产净值50%以上的资产出现无可参考的活跃市场价格且采用估值技术</w:t>
      </w:r>
      <w:proofErr w:type="gramStart"/>
      <w:r w:rsidR="008841B6">
        <w:rPr>
          <w:rStyle w:val="custom"/>
          <w:rFonts w:ascii="宋体" w:hAnsi="宋体" w:cs="宋体"/>
          <w:kern w:val="0"/>
          <w:sz w:val="24"/>
          <w:szCs w:val="24"/>
        </w:rPr>
        <w:t>仍导致</w:t>
      </w:r>
      <w:proofErr w:type="gramEnd"/>
      <w:r w:rsidR="008841B6">
        <w:rPr>
          <w:rStyle w:val="custom"/>
          <w:rFonts w:ascii="宋体" w:hAnsi="宋体" w:cs="宋体"/>
          <w:kern w:val="0"/>
          <w:sz w:val="24"/>
          <w:szCs w:val="24"/>
        </w:rPr>
        <w:t>公允价值存在重大不确定性时，经与基金托管人协商确认后，基金管理人应当延缓支付赎回对价或暂停接受基金赎回申请。</w:t>
      </w:r>
    </w:p>
    <w:p w14:paraId="4C456102" w14:textId="0F728555" w:rsidR="006D7D7F" w:rsidRDefault="0000738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w:t>
      </w:r>
      <w:r w:rsidR="008841B6">
        <w:rPr>
          <w:rStyle w:val="custom"/>
          <w:rFonts w:ascii="宋体" w:hAnsi="宋体" w:cs="宋体"/>
          <w:kern w:val="0"/>
          <w:sz w:val="24"/>
          <w:szCs w:val="24"/>
        </w:rPr>
        <w:t>、基金管理人可根据市场情况在申购赎回清单中设置赎回份额上限，如果一笔新的赎回申请被确认成功，会使本基金当日赎回份额超过申购赎回清单中规定的赎回份额上限时，该笔赎回申请将被拒绝。</w:t>
      </w:r>
    </w:p>
    <w:p w14:paraId="1CA76FA2" w14:textId="3771C4CD" w:rsidR="006D7D7F" w:rsidRDefault="0000738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7</w:t>
      </w:r>
      <w:r w:rsidR="008841B6">
        <w:rPr>
          <w:rStyle w:val="custom"/>
          <w:rFonts w:ascii="宋体" w:hAnsi="宋体" w:cs="宋体"/>
          <w:kern w:val="0"/>
          <w:sz w:val="24"/>
          <w:szCs w:val="24"/>
        </w:rPr>
        <w:t>、相关证券交易所、申购赎回代理券商、登记机构等因异常情况无法办理赎回，或者因指数编制机构或指数发布机构、相关证券交易所等因异常情况使申购赎回清单无法编制或编制不当。本项所称异常情况指无法预见并不可控制的情形，包括但不限于系统故障、网络故障、通讯故障、电力故障、数据错误等。</w:t>
      </w:r>
    </w:p>
    <w:p w14:paraId="5E724E86" w14:textId="2297CBC9" w:rsidR="006D7D7F" w:rsidRDefault="0000738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8</w:t>
      </w:r>
      <w:r w:rsidR="008841B6">
        <w:rPr>
          <w:rStyle w:val="custom"/>
          <w:rFonts w:ascii="宋体" w:hAnsi="宋体" w:cs="宋体"/>
          <w:kern w:val="0"/>
          <w:sz w:val="24"/>
          <w:szCs w:val="24"/>
        </w:rPr>
        <w:t>、基金所投资的投资品种的估值出现重大转变时。</w:t>
      </w:r>
    </w:p>
    <w:p w14:paraId="623B5F1E" w14:textId="3471934B" w:rsidR="006D7D7F" w:rsidRDefault="0000738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9</w:t>
      </w:r>
      <w:r w:rsidR="008841B6">
        <w:rPr>
          <w:rStyle w:val="custom"/>
          <w:rFonts w:ascii="宋体" w:hAnsi="宋体" w:cs="宋体"/>
          <w:kern w:val="0"/>
          <w:sz w:val="24"/>
          <w:szCs w:val="24"/>
        </w:rPr>
        <w:t>、法律法规、深圳证券交易所规定或中国证监会认定的其他情形。</w:t>
      </w:r>
    </w:p>
    <w:p w14:paraId="1ABCE615" w14:textId="042C83B5"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除发生上述第</w:t>
      </w:r>
      <w:r w:rsidR="00007386">
        <w:rPr>
          <w:rStyle w:val="custom"/>
          <w:rFonts w:ascii="宋体" w:hAnsi="宋体" w:cs="宋体"/>
          <w:kern w:val="0"/>
          <w:sz w:val="24"/>
          <w:szCs w:val="24"/>
        </w:rPr>
        <w:t>6</w:t>
      </w:r>
      <w:r>
        <w:rPr>
          <w:rStyle w:val="custom"/>
          <w:rFonts w:ascii="宋体" w:hAnsi="宋体" w:cs="宋体"/>
          <w:kern w:val="0"/>
          <w:sz w:val="24"/>
          <w:szCs w:val="24"/>
        </w:rPr>
        <w:t>项以外的情形之一</w:t>
      </w:r>
      <w:proofErr w:type="gramStart"/>
      <w:r>
        <w:rPr>
          <w:rStyle w:val="custom"/>
          <w:rFonts w:ascii="宋体" w:hAnsi="宋体" w:cs="宋体"/>
          <w:kern w:val="0"/>
          <w:sz w:val="24"/>
          <w:szCs w:val="24"/>
        </w:rPr>
        <w:t>且基金</w:t>
      </w:r>
      <w:proofErr w:type="gramEnd"/>
      <w:r>
        <w:rPr>
          <w:rStyle w:val="custom"/>
          <w:rFonts w:ascii="宋体" w:hAnsi="宋体" w:cs="宋体"/>
          <w:kern w:val="0"/>
          <w:sz w:val="24"/>
          <w:szCs w:val="24"/>
        </w:rPr>
        <w:t>管理人决定暂停赎回或延缓支付赎回对价时，基金管理人应根据有关规定在规定媒介上刊登暂停赎回公告并在当日报中国证监会备案。在暂停赎回的情况消除时，基金管理人应及时恢复赎回业务的办理并公告。</w:t>
      </w:r>
    </w:p>
    <w:p w14:paraId="5BD3617C"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九、暂停申购或赎回的公告和重新开放申购或赎回的公告</w:t>
      </w:r>
    </w:p>
    <w:p w14:paraId="574FB22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1、发生上述暂停申购或赎回情况的，基金管理人应在规定期限内在规定媒介上刊登暂停申购或赎回业务的公告。</w:t>
      </w:r>
    </w:p>
    <w:p w14:paraId="27736A46"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2、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11C0D7E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基金份额的转让</w:t>
      </w:r>
    </w:p>
    <w:p w14:paraId="2E28401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92EA30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其他申购赎回方式</w:t>
      </w:r>
    </w:p>
    <w:p w14:paraId="6D30BE4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ETF联接基金是指其绝大部分基金财产投资于跟踪同一标的指数的ETF，紧密跟踪标的指数表现，追求跟踪偏离度和跟踪误差最小化，采用开放式运作方式的基金。若本基金推出ETF联接基金，ETF联接基金可以在本</w:t>
      </w:r>
      <w:proofErr w:type="gramStart"/>
      <w:r>
        <w:rPr>
          <w:rFonts w:ascii="宋体" w:hAnsi="宋体" w:cs="宋体"/>
          <w:kern w:val="0"/>
          <w:sz w:val="24"/>
          <w:szCs w:val="24"/>
        </w:rPr>
        <w:t>基金基金</w:t>
      </w:r>
      <w:proofErr w:type="gramEnd"/>
      <w:r>
        <w:rPr>
          <w:rFonts w:ascii="宋体" w:hAnsi="宋体" w:cs="宋体"/>
          <w:kern w:val="0"/>
          <w:sz w:val="24"/>
          <w:szCs w:val="24"/>
        </w:rPr>
        <w:t>合同生效后、开放日常申购之前特殊申购本</w:t>
      </w:r>
      <w:proofErr w:type="gramStart"/>
      <w:r>
        <w:rPr>
          <w:rFonts w:ascii="宋体" w:hAnsi="宋体" w:cs="宋体"/>
          <w:kern w:val="0"/>
          <w:sz w:val="24"/>
          <w:szCs w:val="24"/>
        </w:rPr>
        <w:t>基金基金</w:t>
      </w:r>
      <w:proofErr w:type="gramEnd"/>
      <w:r>
        <w:rPr>
          <w:rFonts w:ascii="宋体" w:hAnsi="宋体" w:cs="宋体"/>
          <w:kern w:val="0"/>
          <w:sz w:val="24"/>
          <w:szCs w:val="24"/>
        </w:rPr>
        <w:t>份额，不收取</w:t>
      </w:r>
      <w:r>
        <w:rPr>
          <w:rStyle w:val="custom"/>
          <w:rFonts w:ascii="宋体" w:hAnsi="宋体" w:cs="宋体"/>
          <w:kern w:val="0"/>
          <w:sz w:val="24"/>
          <w:szCs w:val="24"/>
        </w:rPr>
        <w:t>与</w:t>
      </w:r>
      <w:r>
        <w:rPr>
          <w:rFonts w:ascii="宋体" w:hAnsi="宋体" w:cs="宋体"/>
          <w:kern w:val="0"/>
          <w:sz w:val="24"/>
          <w:szCs w:val="24"/>
        </w:rPr>
        <w:t>申购</w:t>
      </w:r>
      <w:r>
        <w:rPr>
          <w:rStyle w:val="custom"/>
          <w:rFonts w:ascii="宋体" w:hAnsi="宋体" w:cs="宋体"/>
          <w:kern w:val="0"/>
          <w:sz w:val="24"/>
          <w:szCs w:val="24"/>
        </w:rPr>
        <w:t>相关的</w:t>
      </w:r>
      <w:r>
        <w:rPr>
          <w:rFonts w:ascii="宋体" w:hAnsi="宋体" w:cs="宋体"/>
          <w:kern w:val="0"/>
          <w:sz w:val="24"/>
          <w:szCs w:val="24"/>
        </w:rPr>
        <w:t>费用</w:t>
      </w:r>
      <w:r>
        <w:rPr>
          <w:rStyle w:val="custom"/>
          <w:rFonts w:ascii="宋体" w:hAnsi="宋体" w:cs="宋体"/>
          <w:kern w:val="0"/>
          <w:sz w:val="24"/>
          <w:szCs w:val="24"/>
        </w:rPr>
        <w:t>和成本</w:t>
      </w:r>
      <w:r>
        <w:rPr>
          <w:rFonts w:ascii="宋体" w:hAnsi="宋体" w:cs="宋体"/>
          <w:kern w:val="0"/>
          <w:sz w:val="24"/>
          <w:szCs w:val="24"/>
        </w:rPr>
        <w:t>。</w:t>
      </w:r>
    </w:p>
    <w:p w14:paraId="02014E6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基金管理人可以在不违反法律法规规定且对基金份额持有人无实质性不利影响的前提下，调整基金申购赎回方式或申购赎回对价组成，并提前公告。</w:t>
      </w:r>
    </w:p>
    <w:p w14:paraId="072911A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3、在条件允许时，基金管理人可开放集合申购，即允许多个或单个投资者集合其持有的组合证券或单</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或现金，共同构成最小申购、赎回单位或其整数</w:t>
      </w:r>
      <w:proofErr w:type="gramStart"/>
      <w:r>
        <w:rPr>
          <w:rStyle w:val="custom"/>
          <w:rFonts w:ascii="宋体" w:hAnsi="宋体" w:cs="宋体"/>
          <w:kern w:val="0"/>
          <w:sz w:val="24"/>
          <w:szCs w:val="24"/>
        </w:rPr>
        <w:t>倍</w:t>
      </w:r>
      <w:proofErr w:type="gramEnd"/>
      <w:r>
        <w:rPr>
          <w:rStyle w:val="custom"/>
          <w:rFonts w:ascii="宋体" w:hAnsi="宋体" w:cs="宋体"/>
          <w:kern w:val="0"/>
          <w:sz w:val="24"/>
          <w:szCs w:val="24"/>
        </w:rPr>
        <w:t>，进行申购。</w:t>
      </w:r>
    </w:p>
    <w:p w14:paraId="4D96AD1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条件允许时，在不违反法律法规规定且对基金份额持有人无实质性不利影响的前提下，基金管理人也可采取其他合理的申购、赎回方式，并于新的申购、赎回方式开始执行前予以公告。</w:t>
      </w:r>
    </w:p>
    <w:p w14:paraId="287AA35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基金管理人指定的代理机构可依据本基金合同开展其他服务，双方需签订书面委托代理协议。</w:t>
      </w:r>
    </w:p>
    <w:p w14:paraId="03D8E4F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w:t>
      </w:r>
      <w:proofErr w:type="gramStart"/>
      <w:r>
        <w:rPr>
          <w:rFonts w:ascii="宋体" w:hAnsi="宋体" w:cs="宋体"/>
          <w:kern w:val="0"/>
          <w:sz w:val="24"/>
          <w:szCs w:val="24"/>
        </w:rPr>
        <w:t>非交易</w:t>
      </w:r>
      <w:proofErr w:type="gramEnd"/>
      <w:r>
        <w:rPr>
          <w:rFonts w:ascii="宋体" w:hAnsi="宋体" w:cs="宋体"/>
          <w:kern w:val="0"/>
          <w:sz w:val="24"/>
          <w:szCs w:val="24"/>
        </w:rPr>
        <w:t>过户等其他业务的办理</w:t>
      </w:r>
    </w:p>
    <w:p w14:paraId="32D3F56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基金登记机构可根据相关法律法规及其业务规则，受理基金份额的</w:t>
      </w:r>
      <w:proofErr w:type="gramStart"/>
      <w:r>
        <w:rPr>
          <w:rFonts w:ascii="宋体" w:hAnsi="宋体" w:cs="宋体"/>
          <w:kern w:val="0"/>
          <w:sz w:val="24"/>
          <w:szCs w:val="24"/>
        </w:rPr>
        <w:t>非交易</w:t>
      </w:r>
      <w:proofErr w:type="gramEnd"/>
      <w:r>
        <w:rPr>
          <w:rFonts w:ascii="宋体" w:hAnsi="宋体" w:cs="宋体"/>
          <w:kern w:val="0"/>
          <w:sz w:val="24"/>
          <w:szCs w:val="24"/>
        </w:rPr>
        <w:t>过户、质押、冻结与解冻等业务，并按照其规定收取一定的手续费用。</w:t>
      </w:r>
    </w:p>
    <w:p w14:paraId="087B2474"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十三、若深圳证券交易所和中国证券登记结算有限责任公司针对交易型开放</w:t>
      </w:r>
      <w:r>
        <w:rPr>
          <w:rStyle w:val="custom"/>
          <w:rFonts w:ascii="宋体" w:hAnsi="宋体" w:cs="宋体"/>
          <w:kern w:val="0"/>
          <w:sz w:val="24"/>
          <w:szCs w:val="24"/>
        </w:rPr>
        <w:lastRenderedPageBreak/>
        <w:t>式指数证券投资基金修改现有的清算交收与登记模式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的招募说明书及其更新中予以更新，无需召开基金份额持有人大会审议。</w:t>
      </w:r>
    </w:p>
    <w:p w14:paraId="77321F0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基金管理人可在法律法规允许的范围内，在对基金份额持有人无实质性不利影响的前提下，根据市场情况对上述申购与赎回的安排进行补充和调整并提前公告。</w:t>
      </w:r>
      <w:r>
        <w:rPr>
          <w:rFonts w:ascii="宋体" w:hAnsi="宋体" w:cs="宋体"/>
          <w:kern w:val="0"/>
          <w:sz w:val="24"/>
          <w:szCs w:val="24"/>
        </w:rPr>
        <w:br w:type="page"/>
      </w:r>
    </w:p>
    <w:p w14:paraId="58DE164E" w14:textId="77777777" w:rsidR="006D7D7F" w:rsidRDefault="008841B6">
      <w:pPr>
        <w:pStyle w:val="1"/>
        <w:spacing w:before="0" w:after="0"/>
        <w:jc w:val="center"/>
        <w:rPr>
          <w:rFonts w:ascii="Times New Roman"/>
          <w:color w:val="auto"/>
          <w:sz w:val="30"/>
        </w:rPr>
      </w:pPr>
      <w:bookmarkStart w:id="48" w:name="_Toc25600000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基金合同当事人及权利义务</w:t>
      </w:r>
      <w:bookmarkEnd w:id="48"/>
    </w:p>
    <w:p w14:paraId="5B0A8D6B" w14:textId="77777777" w:rsidR="006D7D7F" w:rsidRDefault="006D7D7F"/>
    <w:p w14:paraId="3EE02EF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14:paraId="3976A58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14:paraId="17B9FAA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名称：</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w:t>
      </w:r>
    </w:p>
    <w:p w14:paraId="54D27A4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住所：上海市黄浦区外马路728号9楼</w:t>
      </w:r>
    </w:p>
    <w:p w14:paraId="29A95E1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法定代表人：</w:t>
      </w:r>
      <w:proofErr w:type="gramStart"/>
      <w:r>
        <w:rPr>
          <w:rFonts w:ascii="宋体" w:hAnsi="宋体" w:cs="宋体"/>
          <w:kern w:val="0"/>
          <w:sz w:val="24"/>
          <w:szCs w:val="24"/>
        </w:rPr>
        <w:t>鲁伟铭</w:t>
      </w:r>
      <w:proofErr w:type="gramEnd"/>
    </w:p>
    <w:p w14:paraId="618C6F7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设立日期：2005年2月3日</w:t>
      </w:r>
    </w:p>
    <w:p w14:paraId="639C84B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批准设立机关及批准设立文号：中国证监会证</w:t>
      </w:r>
      <w:proofErr w:type="gramStart"/>
      <w:r>
        <w:rPr>
          <w:rFonts w:ascii="宋体" w:hAnsi="宋体" w:cs="宋体"/>
          <w:kern w:val="0"/>
          <w:sz w:val="24"/>
          <w:szCs w:val="24"/>
        </w:rPr>
        <w:t>监基金字</w:t>
      </w:r>
      <w:proofErr w:type="gramEnd"/>
      <w:r>
        <w:rPr>
          <w:rFonts w:ascii="宋体" w:hAnsi="宋体" w:cs="宋体"/>
          <w:kern w:val="0"/>
          <w:sz w:val="24"/>
          <w:szCs w:val="24"/>
        </w:rPr>
        <w:t>【2005】5号</w:t>
      </w:r>
    </w:p>
    <w:p w14:paraId="069C369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组织形式：股份有限公司</w:t>
      </w:r>
    </w:p>
    <w:p w14:paraId="31E673E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注册资本：人民币132,724,224元</w:t>
      </w:r>
    </w:p>
    <w:p w14:paraId="70FA32B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存续期限：持续经营</w:t>
      </w:r>
    </w:p>
    <w:p w14:paraId="4978C51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联系电话：（021）28932888</w:t>
      </w:r>
    </w:p>
    <w:p w14:paraId="392CD95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基金管理人的权利与义务</w:t>
      </w:r>
    </w:p>
    <w:p w14:paraId="089AD95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14:paraId="3790A65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w:t>
      </w:r>
    </w:p>
    <w:p w14:paraId="43491E6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14:paraId="671F6ED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14:paraId="3BEC14C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销售基金份额；</w:t>
      </w:r>
    </w:p>
    <w:p w14:paraId="6AE52A7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按照规定召集基金份额持有人大会；</w:t>
      </w:r>
    </w:p>
    <w:p w14:paraId="749B2F2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06E060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在基金托管人更换时，提名新的基金托管人；</w:t>
      </w:r>
    </w:p>
    <w:p w14:paraId="17E9057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14:paraId="618298E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担任或委托其他符合条件的机构担任基金登记机构办理基金登记业务并获得《基金合同》规定的费用；</w:t>
      </w:r>
    </w:p>
    <w:p w14:paraId="6A313EA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依据《基金合同》及有关法律规定决定基金收益的分配方案；</w:t>
      </w:r>
    </w:p>
    <w:p w14:paraId="7E3E907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在《基金合同》约定的范围内，拒绝或暂停受理申购与赎回申请；</w:t>
      </w:r>
    </w:p>
    <w:p w14:paraId="413A3892"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（12）依照法律法规为基金的利益对被投资公司行使股东权利，为基金的利益行使因基金财产投资于证券所产生的权利；</w:t>
      </w:r>
    </w:p>
    <w:p w14:paraId="71990A2F"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（13）在法律法规允许的前提下，为基金的利益依法为基金进行融资及转融通证券出借业务；</w:t>
      </w:r>
    </w:p>
    <w:p w14:paraId="1728A26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14:paraId="0CEB815F"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（15）选择、更换律师事务所、会计师事务所、证券经纪商、期货经纪机构或其他为基金提供服务的外部机构；</w:t>
      </w:r>
    </w:p>
    <w:p w14:paraId="41CECA3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在符合有关法律、法规的前提下，制订和调整有关基金认购、申购、赎回等业务规则；</w:t>
      </w:r>
    </w:p>
    <w:p w14:paraId="35307C5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（17）法律法规及中国证监会规定的和《基金合同》约定的其他权利。</w:t>
      </w:r>
    </w:p>
    <w:p w14:paraId="201FFA9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14:paraId="05DC4D0B"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依法募集资金，办理或者委托经中国证监会认定的其他机构代为办理基金份额的发售、申购、赎回和登记事宜；</w:t>
      </w:r>
    </w:p>
    <w:p w14:paraId="6F84539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办理基金备案手续；</w:t>
      </w:r>
    </w:p>
    <w:p w14:paraId="4287DBB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14:paraId="7103D74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14:paraId="3B67F2E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1DDD5AE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除依据《基金法》、《基金合同》及其他有关规定外，不得利用基金财产为自己及任何第三人谋取利益，不得委托第三人运作基金财产；</w:t>
      </w:r>
    </w:p>
    <w:p w14:paraId="4FF566D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（7）</w:t>
      </w:r>
      <w:r>
        <w:rPr>
          <w:rFonts w:ascii="宋体" w:hAnsi="宋体" w:cs="宋体"/>
          <w:kern w:val="0"/>
          <w:sz w:val="24"/>
          <w:szCs w:val="24"/>
        </w:rPr>
        <w:t>依法接受基金托管人的监督；</w:t>
      </w:r>
    </w:p>
    <w:p w14:paraId="14767FC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采取适当合理的措施使计算基金份额认购价格、申购对价、赎回对价和注销价格的方法符合《基金合同》等法律文件的规定，按有关规定计算并公告基金净值信息，确定基金份额申购、赎回的对价，编制申购赎回清单；</w:t>
      </w:r>
    </w:p>
    <w:p w14:paraId="210FAD1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进行基金会计核算并编制基金财务会计报告；</w:t>
      </w:r>
    </w:p>
    <w:p w14:paraId="716FF1A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编制季度报告、中期报告和年度报告；</w:t>
      </w:r>
    </w:p>
    <w:p w14:paraId="6E9619C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14:paraId="0F69168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4D9139E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14:paraId="5766B04D"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按规定受理申购与赎回申请，及时、足额支付赎回对价；</w:t>
      </w:r>
    </w:p>
    <w:p w14:paraId="198656F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51C2DECD"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14:paraId="3BEA4A9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63C872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14:paraId="7B1AC10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14:paraId="4C6B46A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因违反《基金合同》导致基金财产的损失或损害基金份额持有人合法权益时，应当承担赔偿责任，其赔偿责任不因其退任而免除；</w:t>
      </w:r>
    </w:p>
    <w:p w14:paraId="4A81BE0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监督基金托管人按法律法规和《基金合同》规定履行自己的义务，</w:t>
      </w:r>
      <w:r>
        <w:rPr>
          <w:rFonts w:ascii="宋体" w:hAnsi="宋体" w:cs="宋体"/>
          <w:kern w:val="0"/>
          <w:sz w:val="24"/>
          <w:szCs w:val="24"/>
        </w:rPr>
        <w:lastRenderedPageBreak/>
        <w:t>基金托管人违反《基金合同》造成基金财产损失时，基金管理人应为基金份额持有人利益向基金托管人追偿；</w:t>
      </w:r>
    </w:p>
    <w:p w14:paraId="6E649C3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14:paraId="24CAADB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14:paraId="0E784D49"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同时由登记机构将已冻结的股票解冻；</w:t>
      </w:r>
    </w:p>
    <w:p w14:paraId="3839954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执行生效的基金份额持有人大会的决议；</w:t>
      </w:r>
    </w:p>
    <w:p w14:paraId="1420A1A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建立并保存基金份额持有人名册；</w:t>
      </w:r>
    </w:p>
    <w:p w14:paraId="42E5795A"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（27）法律法规及中国证监会规定的和《基金合同》约定的其他义务。</w:t>
      </w:r>
    </w:p>
    <w:p w14:paraId="786D3FB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14:paraId="12316CE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14:paraId="0D2AA5B8"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名称：中国建设银行股份有限公司</w:t>
      </w:r>
    </w:p>
    <w:p w14:paraId="38243D3D"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住所：北京市西城区金融大街25号</w:t>
      </w:r>
    </w:p>
    <w:p w14:paraId="614E2C3E"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法定代表人：</w:t>
      </w:r>
      <w:r w:rsidR="00CD7F09">
        <w:rPr>
          <w:rFonts w:ascii="宋体" w:hAnsi="宋体" w:cs="宋体" w:hint="eastAsia"/>
          <w:kern w:val="0"/>
          <w:sz w:val="24"/>
          <w:szCs w:val="24"/>
        </w:rPr>
        <w:t>张金良</w:t>
      </w:r>
    </w:p>
    <w:p w14:paraId="0F04339F"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成立时间：2004年09月17日</w:t>
      </w:r>
    </w:p>
    <w:p w14:paraId="2F3D2039"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批准设立机关及批准设立文号：中国银行业监督管理委员会</w:t>
      </w:r>
      <w:proofErr w:type="gramStart"/>
      <w:r>
        <w:rPr>
          <w:rFonts w:ascii="宋体" w:hAnsi="宋体" w:cs="宋体"/>
          <w:kern w:val="0"/>
          <w:sz w:val="24"/>
          <w:szCs w:val="24"/>
        </w:rPr>
        <w:t>银监复【2004】</w:t>
      </w:r>
      <w:proofErr w:type="gramEnd"/>
      <w:r>
        <w:rPr>
          <w:rFonts w:ascii="宋体" w:hAnsi="宋体" w:cs="宋体"/>
          <w:kern w:val="0"/>
          <w:sz w:val="24"/>
          <w:szCs w:val="24"/>
        </w:rPr>
        <w:t>143号</w:t>
      </w:r>
    </w:p>
    <w:p w14:paraId="5709ECCB"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32CE0987"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w:t>
      </w:r>
      <w:proofErr w:type="gramStart"/>
      <w:r w:rsidR="00580315" w:rsidRPr="00580315">
        <w:rPr>
          <w:rFonts w:ascii="宋体" w:hAnsi="宋体" w:cs="宋体" w:hint="eastAsia"/>
          <w:kern w:val="0"/>
          <w:sz w:val="24"/>
          <w:szCs w:val="24"/>
        </w:rPr>
        <w:t>贰仟陆佰壹拾陆亿零叁拾捌万壹仟伍佰</w:t>
      </w:r>
      <w:proofErr w:type="gramEnd"/>
      <w:r w:rsidR="00580315" w:rsidRPr="00580315">
        <w:rPr>
          <w:rFonts w:ascii="宋体" w:hAnsi="宋体" w:cs="宋体" w:hint="eastAsia"/>
          <w:kern w:val="0"/>
          <w:sz w:val="24"/>
          <w:szCs w:val="24"/>
        </w:rPr>
        <w:t>元</w:t>
      </w:r>
      <w:r>
        <w:rPr>
          <w:rFonts w:ascii="宋体" w:hAnsi="宋体" w:cs="宋体"/>
          <w:kern w:val="0"/>
          <w:sz w:val="24"/>
          <w:szCs w:val="24"/>
        </w:rPr>
        <w:t>整</w:t>
      </w:r>
    </w:p>
    <w:p w14:paraId="25505B75"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16D1620F"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基金托管资格批文及文号：中国证监会</w:t>
      </w:r>
      <w:proofErr w:type="gramStart"/>
      <w:r>
        <w:rPr>
          <w:rFonts w:ascii="宋体" w:hAnsi="宋体" w:cs="宋体"/>
          <w:kern w:val="0"/>
          <w:sz w:val="24"/>
          <w:szCs w:val="24"/>
        </w:rPr>
        <w:t>证监基字</w:t>
      </w:r>
      <w:proofErr w:type="gramEnd"/>
      <w:r>
        <w:rPr>
          <w:rFonts w:eastAsia="Times New Roman"/>
          <w:kern w:val="0"/>
          <w:sz w:val="24"/>
          <w:szCs w:val="24"/>
        </w:rPr>
        <w:t>[1998]12</w:t>
      </w:r>
      <w:r>
        <w:rPr>
          <w:rFonts w:ascii="宋体" w:hAnsi="宋体" w:cs="宋体"/>
          <w:kern w:val="0"/>
          <w:sz w:val="24"/>
          <w:szCs w:val="24"/>
        </w:rPr>
        <w:t>号</w:t>
      </w:r>
    </w:p>
    <w:p w14:paraId="79ABA90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基金托管人的权利与义务</w:t>
      </w:r>
    </w:p>
    <w:p w14:paraId="4980214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14:paraId="5389490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自《基金合同》生效之日起，依法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和《基金合同》的规定安全</w:t>
      </w:r>
      <w:r>
        <w:rPr>
          <w:rFonts w:ascii="宋体" w:hAnsi="宋体" w:cs="宋体"/>
          <w:kern w:val="0"/>
          <w:sz w:val="24"/>
          <w:szCs w:val="24"/>
        </w:rPr>
        <w:lastRenderedPageBreak/>
        <w:t>保管基金财产；</w:t>
      </w:r>
    </w:p>
    <w:p w14:paraId="54C3802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14:paraId="6B179C7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3D9CA89"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（4）根据相关市场规则，为基金开设资金账户和证券账户等投资所需账户，为基金办理证券、期货交易资金清算；</w:t>
      </w:r>
    </w:p>
    <w:p w14:paraId="553BACD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提议召开或召集基金份额持有人大会；</w:t>
      </w:r>
    </w:p>
    <w:p w14:paraId="6D6230A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在基金管理人更换时，提名新的基金管理人；</w:t>
      </w:r>
    </w:p>
    <w:p w14:paraId="6AF18F9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（7）法律法规及中国证监会规定的和《基金合同》约定的其他权利。</w:t>
      </w:r>
    </w:p>
    <w:p w14:paraId="501EB01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14:paraId="4455E4D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以诚实信用、勤勉尽责的原则持有并安全保管基金财产；</w:t>
      </w:r>
    </w:p>
    <w:p w14:paraId="2E3872A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46926D9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A842C2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14:paraId="3B9EA14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14:paraId="4F9DAA7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按规定开设基金财产的资金账户和证券账户等投资所需账户，按照《基金合同》的约定，根据基金管理人的投资指令，及时办理清算、交割事宜；</w:t>
      </w:r>
    </w:p>
    <w:p w14:paraId="6EA134E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w:t>
      </w:r>
      <w:r>
        <w:rPr>
          <w:rFonts w:ascii="宋体" w:hAnsi="宋体" w:cs="宋体"/>
          <w:kern w:val="0"/>
          <w:sz w:val="24"/>
          <w:szCs w:val="24"/>
        </w:rPr>
        <w:lastRenderedPageBreak/>
        <w:t>构、司法机关等有权机关的要求，或因审计、法律等外部专业顾问提供服务需要提供的情况除外；</w:t>
      </w:r>
    </w:p>
    <w:p w14:paraId="3977590F"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（8）复核、审查基金管理人计算的基金资产净值、基金份额净值、基金份额申购、赎回对价的现金部分；</w:t>
      </w:r>
    </w:p>
    <w:p w14:paraId="32A077E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办理与基金托管业务活动有关的信息披露事项；</w:t>
      </w:r>
    </w:p>
    <w:p w14:paraId="5123CE0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5A2B8FA"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（11）保存基金托管业务活动的记录、账册、报表和其他相关资料</w:t>
      </w:r>
      <w:r w:rsidR="001C221E">
        <w:rPr>
          <w:rStyle w:val="custom"/>
          <w:rFonts w:ascii="宋体" w:hAnsi="宋体" w:cs="宋体" w:hint="eastAsia"/>
          <w:kern w:val="0"/>
          <w:sz w:val="24"/>
          <w:szCs w:val="24"/>
        </w:rPr>
        <w:t>，</w:t>
      </w:r>
      <w:r w:rsidR="001C221E" w:rsidRPr="001C221E">
        <w:rPr>
          <w:rStyle w:val="custom"/>
          <w:rFonts w:ascii="宋体" w:hAnsi="宋体" w:cs="宋体" w:hint="eastAsia"/>
          <w:kern w:val="0"/>
          <w:sz w:val="24"/>
          <w:szCs w:val="24"/>
        </w:rPr>
        <w:t>保存期限按照法律法规的规定执行</w:t>
      </w:r>
      <w:r>
        <w:rPr>
          <w:rStyle w:val="custom"/>
          <w:rFonts w:ascii="宋体" w:hAnsi="宋体" w:cs="宋体"/>
          <w:kern w:val="0"/>
          <w:sz w:val="24"/>
          <w:szCs w:val="24"/>
        </w:rPr>
        <w:t>；</w:t>
      </w:r>
    </w:p>
    <w:p w14:paraId="2E9F4D0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（12）</w:t>
      </w:r>
      <w:r w:rsidRPr="00B90519">
        <w:rPr>
          <w:rStyle w:val="custom"/>
          <w:rFonts w:ascii="宋体" w:hAnsi="宋体" w:cs="宋体" w:hint="eastAsia"/>
          <w:kern w:val="0"/>
          <w:sz w:val="24"/>
          <w:szCs w:val="24"/>
        </w:rPr>
        <w:t>从基金管理人或其委托的登记机构处接收</w:t>
      </w:r>
      <w:r>
        <w:rPr>
          <w:rFonts w:ascii="宋体" w:hAnsi="宋体" w:cs="宋体"/>
          <w:kern w:val="0"/>
          <w:sz w:val="24"/>
          <w:szCs w:val="24"/>
        </w:rPr>
        <w:t>保存基金份额持有人名册；</w:t>
      </w:r>
    </w:p>
    <w:p w14:paraId="3059CE5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按规定制作相关账册并与基金管理人核对；</w:t>
      </w:r>
    </w:p>
    <w:p w14:paraId="004DDB8B"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（14）依据基金管理人的指令或有关规定向基金份额持有人支付基金收益和赎回对价的现金部分；</w:t>
      </w:r>
    </w:p>
    <w:p w14:paraId="45EC013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14:paraId="09F885A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14:paraId="1E2B857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14:paraId="06AC42D6"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（18）面临解散、依法被撤销或者被依法宣告破产时，及时报告中国证监会和银行业监督管理机构，并通知基金管理人；</w:t>
      </w:r>
    </w:p>
    <w:p w14:paraId="198CB0F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14:paraId="456E7196"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14:paraId="3908709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执行生效的基金份额持有人大会的决议；</w:t>
      </w:r>
    </w:p>
    <w:p w14:paraId="13D5312C"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（22）法律法规及中国证监会规定的和《基金合同》约定的其他义务。</w:t>
      </w:r>
    </w:p>
    <w:p w14:paraId="74CC1B4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基金份额持有人</w:t>
      </w:r>
    </w:p>
    <w:p w14:paraId="554073A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基金投资者持有本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份额的行为即视为对《基金合同》的承认和接受，基金投资者</w:t>
      </w:r>
      <w:proofErr w:type="gramStart"/>
      <w:r>
        <w:rPr>
          <w:rFonts w:ascii="宋体" w:hAnsi="宋体" w:cs="宋体"/>
          <w:kern w:val="0"/>
          <w:sz w:val="24"/>
          <w:szCs w:val="24"/>
        </w:rPr>
        <w:t>自依据</w:t>
      </w:r>
      <w:proofErr w:type="gramEnd"/>
      <w:r>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4A0975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每份基金份额具有同等的合法权益。</w:t>
      </w:r>
    </w:p>
    <w:p w14:paraId="3FDBCD9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14:paraId="6E6BB90E" w14:textId="77777777" w:rsidR="006D7D7F" w:rsidRDefault="008841B6">
      <w:pPr>
        <w:pStyle w:val="div"/>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35A730B1" w14:textId="77777777" w:rsidR="006D7D7F" w:rsidRDefault="008841B6">
      <w:pPr>
        <w:pStyle w:val="div"/>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6A03D1A3" w14:textId="77777777" w:rsidR="006D7D7F" w:rsidRDefault="008841B6">
      <w:pPr>
        <w:pStyle w:val="div"/>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2F8E442A" w14:textId="77777777" w:rsidR="006D7D7F" w:rsidRDefault="008841B6">
      <w:pPr>
        <w:pStyle w:val="div"/>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7FD9D2F3" w14:textId="77777777" w:rsidR="006D7D7F" w:rsidRDefault="008841B6">
      <w:pPr>
        <w:pStyle w:val="div"/>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627EB05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（6）查阅或者复制公开披露的基金信息资料；</w:t>
      </w:r>
    </w:p>
    <w:p w14:paraId="31408B7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（7）监督基金管理人的投资运作；</w:t>
      </w:r>
    </w:p>
    <w:p w14:paraId="1433507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0FA29ED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（9）法律法规及中国证监会规定的和《基金合同》约定的其他权利。</w:t>
      </w:r>
    </w:p>
    <w:p w14:paraId="6CB4DED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14:paraId="71D4FF0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认真阅读并遵守《基金合同》、《招募说明书》等信息披露文件；</w:t>
      </w:r>
    </w:p>
    <w:p w14:paraId="13484FD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14:paraId="582BA9AB"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关注基金信息披露，及时行使权利和履行义务；</w:t>
      </w:r>
    </w:p>
    <w:p w14:paraId="1E18F8AA"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（4）交纳基金认购款项或认购股票、申购对价、现金差额及法律法规和《基金合同》所规定的费用；</w:t>
      </w:r>
    </w:p>
    <w:p w14:paraId="3F0848AE"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（5）</w:t>
      </w:r>
      <w:r>
        <w:rPr>
          <w:rFonts w:ascii="宋体" w:hAnsi="宋体" w:cs="宋体"/>
          <w:kern w:val="0"/>
          <w:sz w:val="24"/>
          <w:szCs w:val="24"/>
        </w:rPr>
        <w:t>在其持有的基金份额范围内，承担基金亏损或者《基金合同》终止的有限责任；</w:t>
      </w:r>
    </w:p>
    <w:p w14:paraId="3BD91A8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14:paraId="12DB3BF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执行生效的基金份额持有人大会的决议；</w:t>
      </w:r>
    </w:p>
    <w:p w14:paraId="7F97DF1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返还在基金交易过程中因任何原因获得的不当得利；</w:t>
      </w:r>
    </w:p>
    <w:p w14:paraId="0056ABA9"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提供基金管理人和监管机构依法要求提供的信息，以及不时的更新和补充，并保证其真实性；</w:t>
      </w:r>
    </w:p>
    <w:p w14:paraId="1804235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（10）遵守基金管理人、基金托管人、销售机构和登记机构的相关交易及业务规则；</w:t>
      </w:r>
    </w:p>
    <w:p w14:paraId="71CBF21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3812EA0D" w14:textId="77777777" w:rsidR="006D7D7F" w:rsidRDefault="008841B6">
      <w:pPr>
        <w:pStyle w:val="1"/>
        <w:spacing w:before="0" w:after="0"/>
        <w:jc w:val="center"/>
        <w:rPr>
          <w:rFonts w:ascii="Times New Roman"/>
          <w:color w:val="auto"/>
          <w:sz w:val="30"/>
        </w:rPr>
      </w:pPr>
      <w:bookmarkStart w:id="49" w:name="_Toc25600000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基金份额持有人大会</w:t>
      </w:r>
      <w:bookmarkEnd w:id="49"/>
    </w:p>
    <w:p w14:paraId="48A9B948" w14:textId="77777777" w:rsidR="006D7D7F" w:rsidRDefault="006D7D7F"/>
    <w:p w14:paraId="3235E0B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57FA92F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42E5CAD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在本基金成功募集并运作之后，如基金管理人管理本基金的联接基金的：</w:t>
      </w:r>
    </w:p>
    <w:p w14:paraId="04A2F578" w14:textId="77777777" w:rsidR="006D7D7F" w:rsidRDefault="008841B6">
      <w:pPr>
        <w:pStyle w:val="div"/>
        <w:spacing w:line="360" w:lineRule="auto"/>
        <w:ind w:firstLine="480"/>
        <w:rPr>
          <w:rFonts w:eastAsia="Times New Roman"/>
          <w:kern w:val="0"/>
          <w:sz w:val="24"/>
          <w:szCs w:val="24"/>
        </w:rPr>
      </w:pPr>
      <w:proofErr w:type="gramStart"/>
      <w:r>
        <w:rPr>
          <w:rFonts w:ascii="宋体" w:hAnsi="宋体" w:cs="宋体"/>
          <w:kern w:val="0"/>
          <w:sz w:val="24"/>
          <w:szCs w:val="24"/>
        </w:rPr>
        <w:t>鉴于本</w:t>
      </w:r>
      <w:proofErr w:type="gramEnd"/>
      <w:r>
        <w:rPr>
          <w:rFonts w:ascii="宋体" w:hAnsi="宋体" w:cs="宋体"/>
          <w:kern w:val="0"/>
          <w:sz w:val="24"/>
          <w:szCs w:val="24"/>
        </w:rPr>
        <w:t>基金和本基金联接基金的相关性，本基金联接基金的基金份额持有人可以凭所持有的本基金联接基金的基金份额参加或者委派代表参加本基金的基金份额持有人大会并参与表决。在计算参会份额和计票时，本基金联接</w:t>
      </w:r>
      <w:proofErr w:type="gramStart"/>
      <w:r>
        <w:rPr>
          <w:rFonts w:ascii="宋体" w:hAnsi="宋体" w:cs="宋体"/>
          <w:kern w:val="0"/>
          <w:sz w:val="24"/>
          <w:szCs w:val="24"/>
        </w:rPr>
        <w:t>基金基金</w:t>
      </w:r>
      <w:proofErr w:type="gramEnd"/>
      <w:r>
        <w:rPr>
          <w:rFonts w:ascii="宋体" w:hAnsi="宋体" w:cs="宋体"/>
          <w:kern w:val="0"/>
          <w:sz w:val="24"/>
          <w:szCs w:val="24"/>
        </w:rPr>
        <w:t>份额持有人持有的享有表决权的基金份额数和表决票数为：在本</w:t>
      </w:r>
      <w:proofErr w:type="gramStart"/>
      <w:r>
        <w:rPr>
          <w:rFonts w:ascii="宋体" w:hAnsi="宋体" w:cs="宋体"/>
          <w:kern w:val="0"/>
          <w:sz w:val="24"/>
          <w:szCs w:val="24"/>
        </w:rPr>
        <w:t>基金基金</w:t>
      </w:r>
      <w:proofErr w:type="gramEnd"/>
      <w:r>
        <w:rPr>
          <w:rFonts w:ascii="宋体" w:hAnsi="宋体" w:cs="宋体"/>
          <w:kern w:val="0"/>
          <w:sz w:val="24"/>
          <w:szCs w:val="24"/>
        </w:rPr>
        <w:t>份额持有人大会的权益登记日，本基金联接基金持有本基金份额的总数乘以该基金份额持有人所持有的本基金联接基金份额占本基金联接基金总份额的比例。计算结果按照四舍五入的方法，保留到整数位。</w:t>
      </w:r>
    </w:p>
    <w:p w14:paraId="7AAFB6E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联接基金的基金管理人不应以本基金联接基金的名义代表本基金联接基金的全体基金份额持有人以本基金的基金份额持有人的身份行使表决权，但可接受本基金联接基金的基金份额持有人的委托以本基金联接基金的基金份额持有人代理人的身份参加本基金的基金份额持有人大会并参与表决。</w:t>
      </w:r>
    </w:p>
    <w:p w14:paraId="4208087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本基金联接基金的基金管理人代表本基金联接基金的基金份额持有人提议召开或召集本基金份额持有人大会的，须先遵照本基金联接</w:t>
      </w:r>
      <w:proofErr w:type="gramStart"/>
      <w:r>
        <w:rPr>
          <w:rFonts w:ascii="宋体" w:hAnsi="宋体" w:cs="宋体"/>
          <w:kern w:val="0"/>
          <w:sz w:val="24"/>
          <w:szCs w:val="24"/>
        </w:rPr>
        <w:t>基金基金</w:t>
      </w:r>
      <w:proofErr w:type="gramEnd"/>
      <w:r>
        <w:rPr>
          <w:rFonts w:ascii="宋体" w:hAnsi="宋体" w:cs="宋体"/>
          <w:kern w:val="0"/>
          <w:sz w:val="24"/>
          <w:szCs w:val="24"/>
        </w:rPr>
        <w:t>合同的约定召开本基金联接基金的基金份额持有人大会；本基金联接基金的基金份额持有人大会决定提议召开或召集本基金份额持有人大会的，由本基金联接基金的基金管理人代表本基金联接基金的基金份额持有人提议召开或召集本基金份额持有人大会。</w:t>
      </w:r>
    </w:p>
    <w:p w14:paraId="4938B92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一、召开事由</w:t>
      </w:r>
    </w:p>
    <w:p w14:paraId="20231E4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7E4D43D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终止《基金合同》；</w:t>
      </w:r>
    </w:p>
    <w:p w14:paraId="7531465B"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更换基金管理人；</w:t>
      </w:r>
    </w:p>
    <w:p w14:paraId="7E64FF93"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（3）</w:t>
      </w:r>
      <w:r>
        <w:rPr>
          <w:rFonts w:ascii="宋体" w:hAnsi="宋体" w:cs="宋体"/>
          <w:kern w:val="0"/>
          <w:sz w:val="24"/>
          <w:szCs w:val="24"/>
        </w:rPr>
        <w:t>更换基金托管人；</w:t>
      </w:r>
    </w:p>
    <w:p w14:paraId="03ADA79D"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转换基金运作方式；</w:t>
      </w:r>
    </w:p>
    <w:p w14:paraId="3803D33B" w14:textId="77777777" w:rsidR="006D7D7F" w:rsidRDefault="008841B6">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（5）</w:t>
      </w:r>
      <w:r>
        <w:rPr>
          <w:rStyle w:val="divCharacter"/>
          <w:rFonts w:ascii="宋体" w:hAnsi="宋体" w:cs="宋体"/>
          <w:kern w:val="0"/>
          <w:sz w:val="24"/>
          <w:szCs w:val="24"/>
        </w:rPr>
        <w:t>调整基金管理人、基金托管人的报酬标准；</w:t>
      </w:r>
    </w:p>
    <w:p w14:paraId="05CB43D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变更基金类别；</w:t>
      </w:r>
    </w:p>
    <w:p w14:paraId="61F58A6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本基金与其他基金的合并；</w:t>
      </w:r>
    </w:p>
    <w:p w14:paraId="23CB9DB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变更基金投资目标、范围或策略；</w:t>
      </w:r>
    </w:p>
    <w:p w14:paraId="556D1D9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变更基金份额持有人大会程序；</w:t>
      </w:r>
    </w:p>
    <w:p w14:paraId="5615DE1C"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基金管理人或基金托管人要求召开基金份额持有人大会；</w:t>
      </w:r>
    </w:p>
    <w:p w14:paraId="1FF6BC5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14:paraId="57A49CE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对基金合同当事人权利和义务产生重大影响的其他事项；</w:t>
      </w:r>
    </w:p>
    <w:p w14:paraId="61249D24"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（13）终止基金上市，但因基金不再具备上市条件而被深圳证券交易所终止上市的除外；</w:t>
      </w:r>
    </w:p>
    <w:p w14:paraId="54AD49A4"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法律法规、《基金合同》或中国证监会规定的其他应当召开基金份额持有人大会的事项。</w:t>
      </w:r>
    </w:p>
    <w:p w14:paraId="16EEF11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67A306D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（1）法律法规要求增加的基金费用的收取；</w:t>
      </w:r>
    </w:p>
    <w:p w14:paraId="744B6FDA"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（2）调整本基金的申购费率或变更收费方式；</w:t>
      </w:r>
    </w:p>
    <w:p w14:paraId="0D0EEC0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w:t>
      </w:r>
      <w:proofErr w:type="gramStart"/>
      <w:r>
        <w:rPr>
          <w:rFonts w:ascii="宋体" w:hAnsi="宋体" w:cs="宋体"/>
          <w:kern w:val="0"/>
          <w:sz w:val="24"/>
          <w:szCs w:val="24"/>
        </w:rPr>
        <w:t>因相应</w:t>
      </w:r>
      <w:proofErr w:type="gramEnd"/>
      <w:r>
        <w:rPr>
          <w:rFonts w:ascii="宋体" w:hAnsi="宋体" w:cs="宋体"/>
          <w:kern w:val="0"/>
          <w:sz w:val="24"/>
          <w:szCs w:val="24"/>
        </w:rPr>
        <w:t>的法律法规、证券交易所或登记机构相关业务规则发生变动而应当对《基金合同》进行修改；</w:t>
      </w:r>
    </w:p>
    <w:p w14:paraId="1082209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（4）基金管理人、证券交易所和基金登记机构等调整有关基金认购、申购、赎回、</w:t>
      </w:r>
      <w:proofErr w:type="gramStart"/>
      <w:r>
        <w:rPr>
          <w:rFonts w:ascii="宋体" w:hAnsi="宋体" w:cs="宋体"/>
          <w:kern w:val="0"/>
          <w:sz w:val="24"/>
          <w:szCs w:val="24"/>
        </w:rPr>
        <w:t>非交易</w:t>
      </w:r>
      <w:proofErr w:type="gramEnd"/>
      <w:r>
        <w:rPr>
          <w:rFonts w:ascii="宋体" w:hAnsi="宋体" w:cs="宋体"/>
          <w:kern w:val="0"/>
          <w:sz w:val="24"/>
          <w:szCs w:val="24"/>
        </w:rPr>
        <w:t>过户、质押等业务规则；</w:t>
      </w:r>
    </w:p>
    <w:p w14:paraId="6B28017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（5）对《基金合同》的修改对基金份额持有人利益无实质性不利影响或修改不涉及《基金合同》当事人权利义务关系发生重大变化；</w:t>
      </w:r>
    </w:p>
    <w:p w14:paraId="78CDF5B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（6）履行适当程序后基金推出新业务或服务；</w:t>
      </w:r>
    </w:p>
    <w:p w14:paraId="10578D0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w:t>
      </w:r>
      <w:r w:rsidR="00907356">
        <w:rPr>
          <w:rFonts w:ascii="宋体" w:hAnsi="宋体" w:cs="宋体"/>
          <w:kern w:val="0"/>
          <w:sz w:val="24"/>
          <w:szCs w:val="24"/>
        </w:rPr>
        <w:t>7</w:t>
      </w:r>
      <w:r>
        <w:rPr>
          <w:rFonts w:ascii="宋体" w:hAnsi="宋体" w:cs="宋体"/>
          <w:kern w:val="0"/>
          <w:sz w:val="24"/>
          <w:szCs w:val="24"/>
        </w:rPr>
        <w:t>）增加、减少、调整基金份额类别设置；</w:t>
      </w:r>
    </w:p>
    <w:p w14:paraId="09CAE80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lastRenderedPageBreak/>
        <w:t>（</w:t>
      </w:r>
      <w:r w:rsidR="00907356">
        <w:rPr>
          <w:rFonts w:ascii="宋体" w:hAnsi="宋体" w:cs="宋体"/>
          <w:kern w:val="0"/>
          <w:sz w:val="24"/>
          <w:szCs w:val="24"/>
        </w:rPr>
        <w:t>8</w:t>
      </w:r>
      <w:r>
        <w:rPr>
          <w:rFonts w:ascii="宋体" w:hAnsi="宋体" w:cs="宋体"/>
          <w:kern w:val="0"/>
          <w:sz w:val="24"/>
          <w:szCs w:val="24"/>
        </w:rPr>
        <w:t>）募集并管理以本基金为目标ETF的一只或多只联接基金、本基金的联接基金采取特殊申购或其他方式参与本基金的申购赎回；</w:t>
      </w:r>
    </w:p>
    <w:p w14:paraId="4834A9F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w:t>
      </w:r>
      <w:r w:rsidR="00907356">
        <w:rPr>
          <w:rFonts w:ascii="宋体" w:hAnsi="宋体" w:cs="宋体"/>
          <w:kern w:val="0"/>
          <w:sz w:val="24"/>
          <w:szCs w:val="24"/>
        </w:rPr>
        <w:t>9</w:t>
      </w:r>
      <w:r>
        <w:rPr>
          <w:rFonts w:ascii="宋体" w:hAnsi="宋体" w:cs="宋体"/>
          <w:kern w:val="0"/>
          <w:sz w:val="24"/>
          <w:szCs w:val="24"/>
        </w:rPr>
        <w:t>）调整最小申购赎回单位、调整基金的申购赎回方式及申购对价、赎回对价组成；</w:t>
      </w:r>
    </w:p>
    <w:p w14:paraId="2768420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w:t>
      </w:r>
      <w:r w:rsidR="00907356">
        <w:rPr>
          <w:rFonts w:ascii="宋体" w:hAnsi="宋体" w:cs="宋体"/>
          <w:kern w:val="0"/>
          <w:sz w:val="24"/>
          <w:szCs w:val="24"/>
        </w:rPr>
        <w:t>0</w:t>
      </w:r>
      <w:r>
        <w:rPr>
          <w:rFonts w:ascii="宋体" w:hAnsi="宋体" w:cs="宋体"/>
          <w:kern w:val="0"/>
          <w:sz w:val="24"/>
          <w:szCs w:val="24"/>
        </w:rPr>
        <w:t>）在其他证券交易所上市或开通基金的场外申购赎回、跨系统转托管等业务；</w:t>
      </w:r>
    </w:p>
    <w:p w14:paraId="14C551E1" w14:textId="1CD1A8F8"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w:t>
      </w:r>
      <w:r w:rsidR="00907356">
        <w:rPr>
          <w:rFonts w:ascii="宋体" w:hAnsi="宋体" w:cs="宋体"/>
          <w:kern w:val="0"/>
          <w:sz w:val="24"/>
          <w:szCs w:val="24"/>
        </w:rPr>
        <w:t>1</w:t>
      </w:r>
      <w:r>
        <w:rPr>
          <w:rFonts w:ascii="宋体" w:hAnsi="宋体" w:cs="宋体"/>
          <w:kern w:val="0"/>
          <w:sz w:val="24"/>
          <w:szCs w:val="24"/>
        </w:rPr>
        <w:t>）按照法律法规和《基金合同》规定不需召开基金份额持有人大会的其他情形。</w:t>
      </w:r>
    </w:p>
    <w:p w14:paraId="70E2E22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二、会议召集人及召集方式</w:t>
      </w:r>
    </w:p>
    <w:p w14:paraId="4B0BD67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14:paraId="202EEE9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2、基金管理人未按规定召集或不能召集时，由基金托管人召集。</w:t>
      </w:r>
    </w:p>
    <w:p w14:paraId="4383F78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8BB429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2F596B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w:t>
      </w:r>
      <w:r>
        <w:rPr>
          <w:rFonts w:ascii="宋体" w:hAnsi="宋体" w:cs="宋体"/>
          <w:kern w:val="0"/>
          <w:sz w:val="24"/>
          <w:szCs w:val="24"/>
        </w:rPr>
        <w:lastRenderedPageBreak/>
        <w:t>基金份额10%以上（含10%）的基金份额持有人有权自行召集，并至少提前30日报中国证监会备案。基金份额持有人依法自行召集基金份额持有人大会的，基金管理人、基金托管人应当配合，不得阻碍、干扰。</w:t>
      </w:r>
    </w:p>
    <w:p w14:paraId="22A2818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4F4FFC9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三、召开基金份额持有人大会的通知时间、通知内容、通知方式</w:t>
      </w:r>
    </w:p>
    <w:p w14:paraId="4A9A614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1F92EFF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（1）会议召开的时间、地点和会议形式；</w:t>
      </w:r>
    </w:p>
    <w:p w14:paraId="630D4E7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（2）会议</w:t>
      </w:r>
      <w:proofErr w:type="gramStart"/>
      <w:r>
        <w:rPr>
          <w:rFonts w:ascii="宋体" w:hAnsi="宋体" w:cs="宋体"/>
          <w:kern w:val="0"/>
          <w:sz w:val="24"/>
          <w:szCs w:val="24"/>
        </w:rPr>
        <w:t>拟审议</w:t>
      </w:r>
      <w:proofErr w:type="gramEnd"/>
      <w:r>
        <w:rPr>
          <w:rFonts w:ascii="宋体" w:hAnsi="宋体" w:cs="宋体"/>
          <w:kern w:val="0"/>
          <w:sz w:val="24"/>
          <w:szCs w:val="24"/>
        </w:rPr>
        <w:t>的事项、议事程序和表决方式；</w:t>
      </w:r>
    </w:p>
    <w:p w14:paraId="1087323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（3）有权出席基金份额持有人大会的基金份额持有人的权益登记日；</w:t>
      </w:r>
    </w:p>
    <w:p w14:paraId="2D9E812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34CCD9A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（5）会务常设联系人姓名及联系电话；</w:t>
      </w:r>
    </w:p>
    <w:p w14:paraId="31C7CA5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（6）出席会议者必须准备的文件和必须履行的手续；</w:t>
      </w:r>
    </w:p>
    <w:p w14:paraId="58AB500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（7）召集人需要通知的其他事项。</w:t>
      </w:r>
    </w:p>
    <w:p w14:paraId="3F2A6BF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97BF45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kern w:val="0"/>
          <w:sz w:val="24"/>
          <w:szCs w:val="24"/>
        </w:rPr>
        <w:t>拒不派</w:t>
      </w:r>
      <w:proofErr w:type="gramEnd"/>
      <w:r>
        <w:rPr>
          <w:rFonts w:ascii="宋体" w:hAnsi="宋体" w:cs="宋体"/>
          <w:kern w:val="0"/>
          <w:sz w:val="24"/>
          <w:szCs w:val="24"/>
        </w:rPr>
        <w:t>代表对表决意见的计票进行监督的，不影响表决意见的计票效力。</w:t>
      </w:r>
    </w:p>
    <w:p w14:paraId="035A584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四、基金份额持有人出席会议的方式</w:t>
      </w:r>
    </w:p>
    <w:p w14:paraId="3BF929A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60BFDCA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1、现场开会。由基金份额持有人本人出席或以代理投票授权委托证明委派</w:t>
      </w:r>
      <w:r>
        <w:rPr>
          <w:rFonts w:ascii="宋体" w:hAnsi="宋体" w:cs="宋体"/>
          <w:kern w:val="0"/>
          <w:sz w:val="24"/>
          <w:szCs w:val="24"/>
        </w:rPr>
        <w:lastRenderedPageBreak/>
        <w:t>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B8115F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2336A2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97C75C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2、通讯开会。通讯开会系指基金份额持有人将其对表决事项的投票以书面形式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公告载明的其他方式在表决截止日以前送达至召集人指定的地址或系统。通讯开会应以书面方式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公告载明的其他方式进行表决。</w:t>
      </w:r>
    </w:p>
    <w:p w14:paraId="66BFD0D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67BC087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339CE1A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48A385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w:t>
      </w:r>
      <w:r>
        <w:rPr>
          <w:rFonts w:ascii="宋体" w:hAnsi="宋体" w:cs="宋体"/>
          <w:kern w:val="0"/>
          <w:sz w:val="24"/>
          <w:szCs w:val="24"/>
        </w:rPr>
        <w:lastRenderedPageBreak/>
        <w:t>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659F0AB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216AC40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17F0220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五、议事内容与程序</w:t>
      </w:r>
    </w:p>
    <w:p w14:paraId="72574C2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1、议事内容及提案权</w:t>
      </w:r>
    </w:p>
    <w:p w14:paraId="1A12331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73DC90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2856C23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23650D8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2、议事程序</w:t>
      </w:r>
    </w:p>
    <w:p w14:paraId="76C39B5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（1）现场开会</w:t>
      </w:r>
    </w:p>
    <w:p w14:paraId="492B99D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w:t>
      </w:r>
      <w:r>
        <w:rPr>
          <w:rFonts w:ascii="宋体" w:hAnsi="宋体" w:cs="宋体"/>
          <w:kern w:val="0"/>
          <w:sz w:val="24"/>
          <w:szCs w:val="24"/>
        </w:rPr>
        <w:lastRenderedPageBreak/>
        <w:t>基金份额持有人大会的主持人。基金管理人和基金托管人拒不出席或主持基金份额持有人大会，不影响基金份额持有人大会</w:t>
      </w:r>
      <w:proofErr w:type="gramStart"/>
      <w:r>
        <w:rPr>
          <w:rFonts w:ascii="宋体" w:hAnsi="宋体" w:cs="宋体"/>
          <w:kern w:val="0"/>
          <w:sz w:val="24"/>
          <w:szCs w:val="24"/>
        </w:rPr>
        <w:t>作出</w:t>
      </w:r>
      <w:proofErr w:type="gramEnd"/>
      <w:r>
        <w:rPr>
          <w:rFonts w:ascii="宋体" w:hAnsi="宋体" w:cs="宋体"/>
          <w:kern w:val="0"/>
          <w:sz w:val="24"/>
          <w:szCs w:val="24"/>
        </w:rPr>
        <w:t>的决议的效力。</w:t>
      </w:r>
    </w:p>
    <w:p w14:paraId="28B9DEB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w:t>
      </w:r>
      <w:proofErr w:type="gramStart"/>
      <w:r>
        <w:rPr>
          <w:rFonts w:ascii="宋体" w:hAnsi="宋体" w:cs="宋体"/>
          <w:kern w:val="0"/>
          <w:sz w:val="24"/>
          <w:szCs w:val="24"/>
        </w:rPr>
        <w:t>册</w:t>
      </w:r>
      <w:proofErr w:type="gramEnd"/>
      <w:r>
        <w:rPr>
          <w:rFonts w:ascii="宋体" w:hAnsi="宋体" w:cs="宋体"/>
          <w:kern w:val="0"/>
          <w:sz w:val="24"/>
          <w:szCs w:val="24"/>
        </w:rPr>
        <w:t>载明参加会议人员姓名（或单位名称）、身份证明文件号码、持有或代表有表决权的基金份额、委托人姓名（或单位名称）和联系方式等事项。</w:t>
      </w:r>
    </w:p>
    <w:p w14:paraId="7DA1035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（2）通讯开会</w:t>
      </w:r>
    </w:p>
    <w:p w14:paraId="250B098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3379A54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六、表决</w:t>
      </w:r>
    </w:p>
    <w:p w14:paraId="5CC5C2A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29CA175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14:paraId="48EDB8F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2DEF36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1E2D0F1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41A98AB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03AD39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0BD4042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七、计票</w:t>
      </w:r>
    </w:p>
    <w:p w14:paraId="5FB0EE4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1、现场开会</w:t>
      </w:r>
    </w:p>
    <w:p w14:paraId="21B272B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lastRenderedPageBreak/>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Pr>
          <w:rFonts w:ascii="宋体" w:hAnsi="宋体" w:cs="宋体"/>
          <w:kern w:val="0"/>
          <w:sz w:val="24"/>
          <w:szCs w:val="24"/>
        </w:rPr>
        <w:t>或大会</w:t>
      </w:r>
      <w:proofErr w:type="gramEnd"/>
      <w:r>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55E7843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2DC6F7A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w:t>
      </w:r>
      <w:proofErr w:type="gramStart"/>
      <w:r>
        <w:rPr>
          <w:rFonts w:ascii="宋体" w:hAnsi="宋体" w:cs="宋体"/>
          <w:kern w:val="0"/>
          <w:sz w:val="24"/>
          <w:szCs w:val="24"/>
        </w:rPr>
        <w:t>数要求</w:t>
      </w:r>
      <w:proofErr w:type="gramEnd"/>
      <w:r>
        <w:rPr>
          <w:rFonts w:ascii="宋体" w:hAnsi="宋体" w:cs="宋体"/>
          <w:kern w:val="0"/>
          <w:sz w:val="24"/>
          <w:szCs w:val="24"/>
        </w:rPr>
        <w:t>进行重新清点。监票人应当进行重新清点，重新清点以一次为限。重新清点后，大会主持人应当当场公布重新清点结果。</w:t>
      </w:r>
    </w:p>
    <w:p w14:paraId="4516E5A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1A7535C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2、通讯开会</w:t>
      </w:r>
    </w:p>
    <w:p w14:paraId="1D9CBB4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kern w:val="0"/>
          <w:sz w:val="24"/>
          <w:szCs w:val="24"/>
        </w:rPr>
        <w:t>人拒派</w:t>
      </w:r>
      <w:proofErr w:type="gramEnd"/>
      <w:r>
        <w:rPr>
          <w:rFonts w:ascii="宋体" w:hAnsi="宋体" w:cs="宋体"/>
          <w:kern w:val="0"/>
          <w:sz w:val="24"/>
          <w:szCs w:val="24"/>
        </w:rPr>
        <w:t>代表对书面表决意见的计票进行监督的，不影响计票和表决结果。</w:t>
      </w:r>
    </w:p>
    <w:p w14:paraId="20CA790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八、生效与公告</w:t>
      </w:r>
    </w:p>
    <w:p w14:paraId="1291C54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7D4A166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1E4B211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4340A8D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w:t>
      </w:r>
      <w:r>
        <w:rPr>
          <w:rFonts w:ascii="宋体" w:hAnsi="宋体" w:cs="宋体"/>
          <w:kern w:val="0"/>
          <w:sz w:val="24"/>
          <w:szCs w:val="24"/>
        </w:rPr>
        <w:lastRenderedPageBreak/>
        <w:t>人、基金托管人均有约束力。</w:t>
      </w:r>
    </w:p>
    <w:p w14:paraId="229A6998" w14:textId="77777777" w:rsidR="006D7D7F" w:rsidRDefault="008841B6" w:rsidP="00CE2853">
      <w:pPr>
        <w:pStyle w:val="div"/>
        <w:spacing w:line="360" w:lineRule="auto"/>
        <w:ind w:firstLine="480"/>
        <w:rPr>
          <w:rFonts w:eastAsia="Times New Roman"/>
          <w:kern w:val="0"/>
          <w:sz w:val="24"/>
          <w:szCs w:val="24"/>
        </w:rPr>
      </w:pPr>
      <w:r>
        <w:rPr>
          <w:rFonts w:ascii="宋体" w:hAnsi="宋体" w:cs="宋体"/>
          <w:kern w:val="0"/>
          <w:sz w:val="24"/>
          <w:szCs w:val="24"/>
        </w:rPr>
        <w:t>九、本部</w:t>
      </w:r>
      <w:proofErr w:type="gramStart"/>
      <w:r>
        <w:rPr>
          <w:rFonts w:ascii="宋体" w:hAnsi="宋体" w:cs="宋体"/>
          <w:kern w:val="0"/>
          <w:sz w:val="24"/>
          <w:szCs w:val="24"/>
        </w:rPr>
        <w:t>分关于</w:t>
      </w:r>
      <w:proofErr w:type="gramEnd"/>
      <w:r>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w:t>
      </w:r>
      <w:r>
        <w:rPr>
          <w:rFonts w:ascii="宋体" w:hAnsi="宋体" w:cs="宋体" w:hint="eastAsia"/>
          <w:kern w:val="0"/>
          <w:sz w:val="24"/>
          <w:szCs w:val="24"/>
        </w:rPr>
        <w:t>并提前公告后</w:t>
      </w:r>
      <w:r>
        <w:rPr>
          <w:rFonts w:ascii="宋体" w:hAnsi="宋体" w:cs="宋体"/>
          <w:kern w:val="0"/>
          <w:sz w:val="24"/>
          <w:szCs w:val="24"/>
        </w:rPr>
        <w:t>，可直接对本部分内容进行修改和调整，无需召开基金份额持有人大会审议。</w:t>
      </w:r>
      <w:r>
        <w:rPr>
          <w:rFonts w:ascii="宋体" w:hAnsi="宋体" w:cs="宋体"/>
          <w:kern w:val="0"/>
          <w:sz w:val="24"/>
          <w:szCs w:val="24"/>
        </w:rPr>
        <w:br w:type="page"/>
      </w:r>
    </w:p>
    <w:p w14:paraId="18D1C11D" w14:textId="77777777" w:rsidR="006D7D7F" w:rsidRDefault="008841B6">
      <w:pPr>
        <w:pStyle w:val="1"/>
        <w:spacing w:before="0" w:after="0"/>
        <w:jc w:val="center"/>
        <w:rPr>
          <w:rFonts w:ascii="Times New Roman"/>
          <w:color w:val="auto"/>
          <w:sz w:val="30"/>
        </w:rPr>
      </w:pPr>
      <w:bookmarkStart w:id="50" w:name="_Toc25600001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基金管理人、基金托管人的更换条件和程序</w:t>
      </w:r>
      <w:bookmarkEnd w:id="50"/>
    </w:p>
    <w:p w14:paraId="41EA47A8" w14:textId="77777777" w:rsidR="006D7D7F" w:rsidRDefault="006D7D7F"/>
    <w:p w14:paraId="53CBD4D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一、基金管理人和基金托管人职责终止的情形</w:t>
      </w:r>
    </w:p>
    <w:p w14:paraId="4DB2248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（一）基金管理人职责终止的情形</w:t>
      </w:r>
    </w:p>
    <w:p w14:paraId="462F839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有下列情形之一的，基金管理人职责终止：</w:t>
      </w:r>
    </w:p>
    <w:p w14:paraId="27D8151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1、被依法取消基金管理资格；</w:t>
      </w:r>
    </w:p>
    <w:p w14:paraId="27AD058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2、被基金份额持有人大会解任；</w:t>
      </w:r>
    </w:p>
    <w:p w14:paraId="33B978B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3、依法解散、被依法撤销或被依法宣告破产；</w:t>
      </w:r>
    </w:p>
    <w:p w14:paraId="6D58BD3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4、法律法规及中国证监会规定的和《基金合同》约定的其他情形。</w:t>
      </w:r>
    </w:p>
    <w:p w14:paraId="005F3AA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（二）基金托管人职责终止的情形</w:t>
      </w:r>
    </w:p>
    <w:p w14:paraId="6058D19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有下列情形之一的，基金托管人职责终止：</w:t>
      </w:r>
    </w:p>
    <w:p w14:paraId="4A6D299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1、被依法取消基金托管资格；</w:t>
      </w:r>
    </w:p>
    <w:p w14:paraId="58E102E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2、被基金份额持有人大会解任；</w:t>
      </w:r>
    </w:p>
    <w:p w14:paraId="4B3A617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3、依法解散、被依法撤销或被依法宣告破产；</w:t>
      </w:r>
    </w:p>
    <w:p w14:paraId="19B904F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4、法律法规及中国证监会规定的和《基金合同》约定的其他情形。</w:t>
      </w:r>
    </w:p>
    <w:p w14:paraId="6A014F0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二、基金管理人和基金托管人的更换程序</w:t>
      </w:r>
    </w:p>
    <w:p w14:paraId="4F428A3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（一）基金管理人的更换程序</w:t>
      </w:r>
    </w:p>
    <w:p w14:paraId="46BCB69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1、提名：</w:t>
      </w:r>
      <w:proofErr w:type="gramStart"/>
      <w:r>
        <w:rPr>
          <w:rFonts w:ascii="宋体" w:hAnsi="宋体" w:cs="宋体"/>
          <w:kern w:val="0"/>
          <w:sz w:val="24"/>
          <w:szCs w:val="24"/>
        </w:rPr>
        <w:t>新任基金</w:t>
      </w:r>
      <w:proofErr w:type="gramEnd"/>
      <w:r>
        <w:rPr>
          <w:rFonts w:ascii="宋体" w:hAnsi="宋体" w:cs="宋体"/>
          <w:kern w:val="0"/>
          <w:sz w:val="24"/>
          <w:szCs w:val="24"/>
        </w:rPr>
        <w:t>管理人由基金托管人或由单独或合计持有10%以上（含10%）基金份额的基金份额持有人提名；</w:t>
      </w:r>
    </w:p>
    <w:p w14:paraId="50B6C16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E26B63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3、临时基金管理人：</w:t>
      </w:r>
      <w:proofErr w:type="gramStart"/>
      <w:r>
        <w:rPr>
          <w:rFonts w:ascii="宋体" w:hAnsi="宋体" w:cs="宋体"/>
          <w:kern w:val="0"/>
          <w:sz w:val="24"/>
          <w:szCs w:val="24"/>
        </w:rPr>
        <w:t>新任基金</w:t>
      </w:r>
      <w:proofErr w:type="gramEnd"/>
      <w:r>
        <w:rPr>
          <w:rFonts w:ascii="宋体" w:hAnsi="宋体" w:cs="宋体"/>
          <w:kern w:val="0"/>
          <w:sz w:val="24"/>
          <w:szCs w:val="24"/>
        </w:rPr>
        <w:t>管理人产生之前，由中国证监会指定临时基金管理人；</w:t>
      </w:r>
    </w:p>
    <w:p w14:paraId="7E28D9A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4、备案：基金份额持有人大会更换基金管理人的决议须报中国证监会备案；</w:t>
      </w:r>
    </w:p>
    <w:p w14:paraId="0032EA0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5、公告：基金管理人更换后，由基金托管人在更换基金管理人的基金份额持有人大会决议生效后2日内在规定媒介公告；</w:t>
      </w:r>
    </w:p>
    <w:p w14:paraId="3C49133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6、交接：基金管理人职责终止的，基金管理人应妥善保管基金管理业务资料，及时向临时基金管理人或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管理人办理基金管理业务的移交手续，临</w:t>
      </w:r>
      <w:r>
        <w:rPr>
          <w:rFonts w:ascii="宋体" w:hAnsi="宋体" w:cs="宋体"/>
          <w:kern w:val="0"/>
          <w:sz w:val="24"/>
          <w:szCs w:val="24"/>
        </w:rPr>
        <w:lastRenderedPageBreak/>
        <w:t>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管理人应及时接收。临时基金管理人或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管理人应与基金托管人核对基金资产总值和基金资产净值；</w:t>
      </w:r>
    </w:p>
    <w:p w14:paraId="5A73FF4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2F1603A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8、基金名称变更：基金管理人更换后，如果原任或</w:t>
      </w:r>
      <w:proofErr w:type="gramStart"/>
      <w:r>
        <w:rPr>
          <w:rFonts w:ascii="宋体" w:hAnsi="宋体" w:cs="宋体"/>
          <w:kern w:val="0"/>
          <w:sz w:val="24"/>
          <w:szCs w:val="24"/>
        </w:rPr>
        <w:t>新任基金</w:t>
      </w:r>
      <w:proofErr w:type="gramEnd"/>
      <w:r>
        <w:rPr>
          <w:rFonts w:ascii="宋体" w:hAnsi="宋体" w:cs="宋体"/>
          <w:kern w:val="0"/>
          <w:sz w:val="24"/>
          <w:szCs w:val="24"/>
        </w:rPr>
        <w:t>管理人要求，应按其要求替换或删除基金名称中与</w:t>
      </w:r>
      <w:proofErr w:type="gramStart"/>
      <w:r>
        <w:rPr>
          <w:rFonts w:ascii="宋体" w:hAnsi="宋体" w:cs="宋体"/>
          <w:kern w:val="0"/>
          <w:sz w:val="24"/>
          <w:szCs w:val="24"/>
        </w:rPr>
        <w:t>原基金</w:t>
      </w:r>
      <w:proofErr w:type="gramEnd"/>
      <w:r>
        <w:rPr>
          <w:rFonts w:ascii="宋体" w:hAnsi="宋体" w:cs="宋体"/>
          <w:kern w:val="0"/>
          <w:sz w:val="24"/>
          <w:szCs w:val="24"/>
        </w:rPr>
        <w:t>管理人有关的名称字样。</w:t>
      </w:r>
    </w:p>
    <w:p w14:paraId="7A9770A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（二）基金托管人的更换程序</w:t>
      </w:r>
    </w:p>
    <w:p w14:paraId="1ECA16C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1、提名：</w:t>
      </w:r>
      <w:proofErr w:type="gramStart"/>
      <w:r>
        <w:rPr>
          <w:rFonts w:ascii="宋体" w:hAnsi="宋体" w:cs="宋体"/>
          <w:kern w:val="0"/>
          <w:sz w:val="24"/>
          <w:szCs w:val="24"/>
        </w:rPr>
        <w:t>新任基金</w:t>
      </w:r>
      <w:proofErr w:type="gramEnd"/>
      <w:r>
        <w:rPr>
          <w:rFonts w:ascii="宋体" w:hAnsi="宋体" w:cs="宋体"/>
          <w:kern w:val="0"/>
          <w:sz w:val="24"/>
          <w:szCs w:val="24"/>
        </w:rPr>
        <w:t>托管人由基金管理人或由单独或合计持有10%以上（含10%）基金份额的基金份额持有人提名；</w:t>
      </w:r>
    </w:p>
    <w:p w14:paraId="49D8B53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19AD18E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3、临时基金托管人：</w:t>
      </w:r>
      <w:proofErr w:type="gramStart"/>
      <w:r>
        <w:rPr>
          <w:rFonts w:ascii="宋体" w:hAnsi="宋体" w:cs="宋体"/>
          <w:kern w:val="0"/>
          <w:sz w:val="24"/>
          <w:szCs w:val="24"/>
        </w:rPr>
        <w:t>新任基金</w:t>
      </w:r>
      <w:proofErr w:type="gramEnd"/>
      <w:r>
        <w:rPr>
          <w:rFonts w:ascii="宋体" w:hAnsi="宋体" w:cs="宋体"/>
          <w:kern w:val="0"/>
          <w:sz w:val="24"/>
          <w:szCs w:val="24"/>
        </w:rPr>
        <w:t>托管人产生之前，由中国证监会指定临时基金托管人；</w:t>
      </w:r>
    </w:p>
    <w:p w14:paraId="20A0736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4、备案：基金份额持有人大会更换基金托管人的决议须报中国证监会备案；</w:t>
      </w:r>
    </w:p>
    <w:p w14:paraId="46777C4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5、公告：基金托管人更换后，由基金管理人在更换基金托管人的基金份额持有人大会决议生效后2日内在规定媒介公告；</w:t>
      </w:r>
    </w:p>
    <w:p w14:paraId="70E7651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6、交接：基金托管人职责终止的，应当妥善保管基金财产和基金托管业务资料，及时办理基金财产和基金托管业务的移交手续，</w:t>
      </w:r>
      <w:proofErr w:type="gramStart"/>
      <w:r>
        <w:rPr>
          <w:rFonts w:ascii="宋体" w:hAnsi="宋体" w:cs="宋体"/>
          <w:kern w:val="0"/>
          <w:sz w:val="24"/>
          <w:szCs w:val="24"/>
        </w:rPr>
        <w:t>新任基金</w:t>
      </w:r>
      <w:proofErr w:type="gramEnd"/>
      <w:r>
        <w:rPr>
          <w:rFonts w:ascii="宋体" w:hAnsi="宋体" w:cs="宋体"/>
          <w:kern w:val="0"/>
          <w:sz w:val="24"/>
          <w:szCs w:val="24"/>
        </w:rPr>
        <w:t>托管人或者临时基金托管人应当及时接收。临时基金托管人或</w:t>
      </w:r>
      <w:proofErr w:type="gramStart"/>
      <w:r>
        <w:rPr>
          <w:rFonts w:ascii="宋体" w:hAnsi="宋体" w:cs="宋体"/>
          <w:kern w:val="0"/>
          <w:sz w:val="24"/>
          <w:szCs w:val="24"/>
        </w:rPr>
        <w:t>新任基金</w:t>
      </w:r>
      <w:proofErr w:type="gramEnd"/>
      <w:r>
        <w:rPr>
          <w:rFonts w:ascii="宋体" w:hAnsi="宋体" w:cs="宋体"/>
          <w:kern w:val="0"/>
          <w:sz w:val="24"/>
          <w:szCs w:val="24"/>
        </w:rPr>
        <w:t>托管人与基金管理人核对基金资产总值和基金资产净值；</w:t>
      </w:r>
    </w:p>
    <w:p w14:paraId="781D1CA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0FE05C9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（三）基金管理人与基金托管人同时更换的条件和程序</w:t>
      </w:r>
    </w:p>
    <w:p w14:paraId="2D4C58A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1、提名：如果基金管理人和基金托管人同时更换，由单独或合计持有基金总份额10%以上（含10%）的基金份额持有人提名新的基金管理人和基金托管人；</w:t>
      </w:r>
    </w:p>
    <w:p w14:paraId="64F1018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2、基金管理人和基金托管人的更换分别按上述程序进行；</w:t>
      </w:r>
    </w:p>
    <w:p w14:paraId="0CD4D7F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lastRenderedPageBreak/>
        <w:t>3、公告：</w:t>
      </w:r>
      <w:proofErr w:type="gramStart"/>
      <w:r>
        <w:rPr>
          <w:rFonts w:ascii="宋体" w:hAnsi="宋体" w:cs="宋体"/>
          <w:kern w:val="0"/>
          <w:sz w:val="24"/>
          <w:szCs w:val="24"/>
        </w:rPr>
        <w:t>新任基金</w:t>
      </w:r>
      <w:proofErr w:type="gramEnd"/>
      <w:r>
        <w:rPr>
          <w:rFonts w:ascii="宋体" w:hAnsi="宋体" w:cs="宋体"/>
          <w:kern w:val="0"/>
          <w:sz w:val="24"/>
          <w:szCs w:val="24"/>
        </w:rPr>
        <w:t>管理人和</w:t>
      </w:r>
      <w:proofErr w:type="gramStart"/>
      <w:r>
        <w:rPr>
          <w:rFonts w:ascii="宋体" w:hAnsi="宋体" w:cs="宋体"/>
          <w:kern w:val="0"/>
          <w:sz w:val="24"/>
          <w:szCs w:val="24"/>
        </w:rPr>
        <w:t>新任基金</w:t>
      </w:r>
      <w:proofErr w:type="gramEnd"/>
      <w:r>
        <w:rPr>
          <w:rFonts w:ascii="宋体" w:hAnsi="宋体" w:cs="宋体"/>
          <w:kern w:val="0"/>
          <w:sz w:val="24"/>
          <w:szCs w:val="24"/>
        </w:rPr>
        <w:t>托管人应在更换基金管理人和基金托管人的基金份额持有人大会决议生效后2日内在规定媒介上联合公告。</w:t>
      </w:r>
    </w:p>
    <w:p w14:paraId="5C6CCCA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w:t>
      </w:r>
      <w:proofErr w:type="gramStart"/>
      <w:r>
        <w:rPr>
          <w:rFonts w:ascii="宋体" w:hAnsi="宋体" w:cs="宋体"/>
          <w:kern w:val="0"/>
          <w:sz w:val="24"/>
          <w:szCs w:val="24"/>
        </w:rPr>
        <w:t>新任基金</w:t>
      </w:r>
      <w:proofErr w:type="gramEnd"/>
      <w:r>
        <w:rPr>
          <w:rFonts w:ascii="宋体" w:hAnsi="宋体" w:cs="宋体"/>
          <w:kern w:val="0"/>
          <w:sz w:val="24"/>
          <w:szCs w:val="24"/>
        </w:rPr>
        <w:t>管理人或临时基金管理人接收基金管理业务，或</w:t>
      </w:r>
      <w:proofErr w:type="gramStart"/>
      <w:r>
        <w:rPr>
          <w:rFonts w:ascii="宋体" w:hAnsi="宋体" w:cs="宋体"/>
          <w:kern w:val="0"/>
          <w:sz w:val="24"/>
          <w:szCs w:val="24"/>
        </w:rPr>
        <w:t>新任基金</w:t>
      </w:r>
      <w:proofErr w:type="gramEnd"/>
      <w:r>
        <w:rPr>
          <w:rFonts w:ascii="宋体" w:hAnsi="宋体" w:cs="宋体"/>
          <w:kern w:val="0"/>
          <w:sz w:val="24"/>
          <w:szCs w:val="24"/>
        </w:rPr>
        <w:t>托管人或临时基金托管人接收基金财产和基金托管业务前，</w:t>
      </w:r>
      <w:proofErr w:type="gramStart"/>
      <w:r>
        <w:rPr>
          <w:rFonts w:ascii="宋体" w:hAnsi="宋体" w:cs="宋体"/>
          <w:kern w:val="0"/>
          <w:sz w:val="24"/>
          <w:szCs w:val="24"/>
        </w:rPr>
        <w:t>原基金</w:t>
      </w:r>
      <w:proofErr w:type="gramEnd"/>
      <w:r>
        <w:rPr>
          <w:rFonts w:ascii="宋体" w:hAnsi="宋体" w:cs="宋体"/>
          <w:kern w:val="0"/>
          <w:sz w:val="24"/>
          <w:szCs w:val="24"/>
        </w:rPr>
        <w:t>管理人或</w:t>
      </w:r>
      <w:proofErr w:type="gramStart"/>
      <w:r>
        <w:rPr>
          <w:rFonts w:ascii="宋体" w:hAnsi="宋体" w:cs="宋体"/>
          <w:kern w:val="0"/>
          <w:sz w:val="24"/>
          <w:szCs w:val="24"/>
        </w:rPr>
        <w:t>原基金</w:t>
      </w:r>
      <w:proofErr w:type="gramEnd"/>
      <w:r>
        <w:rPr>
          <w:rFonts w:ascii="宋体" w:hAnsi="宋体" w:cs="宋体"/>
          <w:kern w:val="0"/>
          <w:sz w:val="24"/>
          <w:szCs w:val="24"/>
        </w:rPr>
        <w:t>托管人应依据法律法规和《基金合同》的约定继续履行相关职责，并保证不做出对基金份额持有人的利益造成损害的行为。</w:t>
      </w:r>
      <w:proofErr w:type="gramStart"/>
      <w:r>
        <w:rPr>
          <w:rFonts w:ascii="宋体" w:hAnsi="宋体" w:cs="宋体"/>
          <w:kern w:val="0"/>
          <w:sz w:val="24"/>
          <w:szCs w:val="24"/>
        </w:rPr>
        <w:t>原基金</w:t>
      </w:r>
      <w:proofErr w:type="gramEnd"/>
      <w:r>
        <w:rPr>
          <w:rFonts w:ascii="宋体" w:hAnsi="宋体" w:cs="宋体"/>
          <w:kern w:val="0"/>
          <w:sz w:val="24"/>
          <w:szCs w:val="24"/>
        </w:rPr>
        <w:t>管理人或</w:t>
      </w:r>
      <w:proofErr w:type="gramStart"/>
      <w:r>
        <w:rPr>
          <w:rFonts w:ascii="宋体" w:hAnsi="宋体" w:cs="宋体"/>
          <w:kern w:val="0"/>
          <w:sz w:val="24"/>
          <w:szCs w:val="24"/>
        </w:rPr>
        <w:t>原基金</w:t>
      </w:r>
      <w:proofErr w:type="gramEnd"/>
      <w:r>
        <w:rPr>
          <w:rFonts w:ascii="宋体" w:hAnsi="宋体" w:cs="宋体"/>
          <w:kern w:val="0"/>
          <w:sz w:val="24"/>
          <w:szCs w:val="24"/>
        </w:rPr>
        <w:t>托管人在继续履行相关职责期间，仍有权按照《基金合同》的约定收取基金管理费或基金托管费。</w:t>
      </w:r>
    </w:p>
    <w:p w14:paraId="54F33067"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四、本部</w:t>
      </w:r>
      <w:proofErr w:type="gramStart"/>
      <w:r>
        <w:rPr>
          <w:rFonts w:ascii="宋体" w:hAnsi="宋体" w:cs="宋体"/>
          <w:kern w:val="0"/>
          <w:sz w:val="24"/>
          <w:szCs w:val="24"/>
        </w:rPr>
        <w:t>分关于</w:t>
      </w:r>
      <w:proofErr w:type="gramEnd"/>
      <w:r>
        <w:rPr>
          <w:rFonts w:ascii="宋体" w:hAnsi="宋体" w:cs="宋体"/>
          <w:kern w:val="0"/>
          <w:sz w:val="24"/>
          <w:szCs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14:paraId="1094B92F" w14:textId="77777777" w:rsidR="006D7D7F" w:rsidRDefault="008841B6">
      <w:pPr>
        <w:pStyle w:val="1"/>
        <w:spacing w:before="0" w:after="0"/>
        <w:jc w:val="center"/>
        <w:rPr>
          <w:rFonts w:ascii="Times New Roman"/>
          <w:color w:val="auto"/>
          <w:sz w:val="30"/>
        </w:rPr>
      </w:pPr>
      <w:bookmarkStart w:id="51" w:name="_Toc25600001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基金的托管</w:t>
      </w:r>
      <w:bookmarkEnd w:id="51"/>
    </w:p>
    <w:p w14:paraId="34910AC7" w14:textId="77777777" w:rsidR="006D7D7F" w:rsidRDefault="006D7D7F"/>
    <w:p w14:paraId="3B5751C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14:paraId="1FEA19B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14:paraId="72E84435" w14:textId="77777777" w:rsidR="006D7D7F" w:rsidRDefault="008841B6">
      <w:pPr>
        <w:pStyle w:val="1"/>
        <w:spacing w:before="0" w:after="0"/>
        <w:jc w:val="center"/>
        <w:rPr>
          <w:rFonts w:ascii="Times New Roman"/>
          <w:color w:val="auto"/>
          <w:sz w:val="30"/>
        </w:rPr>
      </w:pPr>
      <w:bookmarkStart w:id="52" w:name="_Toc25600001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基金份额的登记</w:t>
      </w:r>
      <w:bookmarkEnd w:id="52"/>
    </w:p>
    <w:p w14:paraId="538DAC33" w14:textId="77777777" w:rsidR="006D7D7F" w:rsidRDefault="006D7D7F"/>
    <w:p w14:paraId="7D13FF9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一、基金份额的登记业务</w:t>
      </w:r>
    </w:p>
    <w:p w14:paraId="0341F0C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cs="宋体"/>
          <w:kern w:val="0"/>
          <w:sz w:val="24"/>
          <w:szCs w:val="24"/>
        </w:rPr>
        <w:t>非交易</w:t>
      </w:r>
      <w:proofErr w:type="gramEnd"/>
      <w:r>
        <w:rPr>
          <w:rFonts w:ascii="宋体" w:hAnsi="宋体" w:cs="宋体"/>
          <w:kern w:val="0"/>
          <w:sz w:val="24"/>
          <w:szCs w:val="24"/>
        </w:rPr>
        <w:t>过户等。</w:t>
      </w:r>
    </w:p>
    <w:p w14:paraId="13BE7B0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二、基金登记业务办理机构</w:t>
      </w:r>
    </w:p>
    <w:p w14:paraId="0D827DA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21A824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三、基金登记机构的权利</w:t>
      </w:r>
    </w:p>
    <w:p w14:paraId="2E0489C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基金登记机构享有以下权利：</w:t>
      </w:r>
    </w:p>
    <w:p w14:paraId="7F2662A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1、取得登记费；</w:t>
      </w:r>
    </w:p>
    <w:p w14:paraId="7EA42FF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2、建立和管理投资者基金账户；</w:t>
      </w:r>
    </w:p>
    <w:p w14:paraId="7BD1A5B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3、保管基金份额持有人开户资料、交易资料、基金份额持有人名册等；</w:t>
      </w:r>
    </w:p>
    <w:p w14:paraId="34D06A1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4、在法律法规允许的范围内，对登记业务的办理时间进行调整，并依照有关规定于开始实施前在规定媒介上公告；</w:t>
      </w:r>
    </w:p>
    <w:p w14:paraId="3A82451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5、法律法规及中国证监会规定的和《基金合同》约定的其他权利。</w:t>
      </w:r>
    </w:p>
    <w:p w14:paraId="32A0D28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四、基金登记机构的义务</w:t>
      </w:r>
    </w:p>
    <w:p w14:paraId="5EB8683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基金登记机构承担以下义务：</w:t>
      </w:r>
    </w:p>
    <w:p w14:paraId="6382FF8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1、配备足够的专业人员办理本基金份额的登记业务；</w:t>
      </w:r>
    </w:p>
    <w:p w14:paraId="3391364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2、严格按照法律法规和《基金合同》规定的条件办理本基金份额的登记业务；</w:t>
      </w:r>
    </w:p>
    <w:p w14:paraId="64DB4A8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3、妥善保存登记数据，并将基金份额持有人名称、身份信息及基金份额明细等数据备份至中国证监会认定的机构。其保存期限自基金账户销户之日起不得少于20年；</w:t>
      </w:r>
    </w:p>
    <w:p w14:paraId="4BC6307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lastRenderedPageBreak/>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0D3E643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5、按《基金合同》及招募说明书规定为投资者办理</w:t>
      </w:r>
      <w:proofErr w:type="gramStart"/>
      <w:r>
        <w:rPr>
          <w:rFonts w:ascii="宋体" w:hAnsi="宋体" w:cs="宋体"/>
          <w:kern w:val="0"/>
          <w:sz w:val="24"/>
          <w:szCs w:val="24"/>
        </w:rPr>
        <w:t>非交易</w:t>
      </w:r>
      <w:proofErr w:type="gramEnd"/>
      <w:r>
        <w:rPr>
          <w:rFonts w:ascii="宋体" w:hAnsi="宋体" w:cs="宋体"/>
          <w:kern w:val="0"/>
          <w:sz w:val="24"/>
          <w:szCs w:val="24"/>
        </w:rPr>
        <w:t>过户业务、提供其他必要的服务；</w:t>
      </w:r>
    </w:p>
    <w:p w14:paraId="2D97EFD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6、接受基金管理人的监督；</w:t>
      </w:r>
    </w:p>
    <w:p w14:paraId="38D9051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7、法律法规及中国证监会规定的和《基金合同》约定的其他义务。</w:t>
      </w:r>
      <w:r>
        <w:rPr>
          <w:rFonts w:ascii="宋体" w:hAnsi="宋体" w:cs="宋体"/>
          <w:kern w:val="0"/>
          <w:sz w:val="24"/>
          <w:szCs w:val="24"/>
        </w:rPr>
        <w:br w:type="page"/>
      </w:r>
    </w:p>
    <w:p w14:paraId="78A5121A" w14:textId="77777777" w:rsidR="006D7D7F" w:rsidRDefault="008841B6">
      <w:pPr>
        <w:pStyle w:val="1"/>
        <w:spacing w:before="0" w:after="0"/>
        <w:jc w:val="center"/>
        <w:rPr>
          <w:rFonts w:ascii="Times New Roman"/>
          <w:color w:val="auto"/>
          <w:sz w:val="30"/>
        </w:rPr>
      </w:pPr>
      <w:bookmarkStart w:id="53" w:name="_Toc256000013"/>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基金的投资</w:t>
      </w:r>
      <w:bookmarkEnd w:id="53"/>
    </w:p>
    <w:p w14:paraId="6FB46BF9" w14:textId="77777777" w:rsidR="006D7D7F" w:rsidRDefault="006D7D7F"/>
    <w:p w14:paraId="779F2B76"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14:paraId="30533F63"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紧密跟踪标的指数，追求跟踪偏离度和跟踪误差的最小化。</w:t>
      </w:r>
    </w:p>
    <w:p w14:paraId="04B373A3"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14:paraId="7367F04E"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主要投资于标的指数成份股、备选成份股。为更好地实现投资目标，本基金可少量投资于非成份股（包括主板、创业板及其他中国证监会允许上市的股票、存托凭证）、债券（包括国债、央行票据、金融债、企业债、公司债、中期票据、短期融资</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、超短期融资</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次级债券、政府支持债券、政府支持机构债券、地方政府债券、可交换债券、可转换债券（含分离交易可转债）及其他经中国证监会允许投资的债券）、资产支持证券、股指期货、国债期货、股票期权、债券回购、银行存款、同业存单、货币市场工具以及法律法规或中国证监会允许基金投资的其他金融工具(但须符合中国证监会相关规定)。</w:t>
      </w:r>
    </w:p>
    <w:p w14:paraId="757AD419"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本基金可根据法律法规的规定参与融资及转融通证券出借业务。</w:t>
      </w:r>
    </w:p>
    <w:p w14:paraId="0427B55A"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0264F153"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基金的投资组合比例为：投资于标的指数成份股和备选成份股的比例不低于基金资产净值的90%，且不低于非现金基金资产的80%，因法律法规的规定而受限制的情形除外。</w:t>
      </w:r>
    </w:p>
    <w:p w14:paraId="758AB665"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65843834"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14:paraId="1C6D08DF"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本基金主要采用完全复制法，即完全按照标的指数的成份</w:t>
      </w:r>
      <w:proofErr w:type="gramStart"/>
      <w:r>
        <w:rPr>
          <w:rStyle w:val="custom"/>
          <w:rFonts w:ascii="宋体" w:hAnsi="宋体" w:cs="宋体"/>
          <w:kern w:val="0"/>
          <w:sz w:val="24"/>
          <w:szCs w:val="24"/>
        </w:rPr>
        <w:t>股组成</w:t>
      </w:r>
      <w:proofErr w:type="gramEnd"/>
      <w:r>
        <w:rPr>
          <w:rStyle w:val="custom"/>
          <w:rFonts w:ascii="宋体" w:hAnsi="宋体" w:cs="宋体"/>
          <w:kern w:val="0"/>
          <w:sz w:val="24"/>
          <w:szCs w:val="24"/>
        </w:rPr>
        <w:t>及其权重构建基金股票投资组合，并根据标的指数成份股及其权重的变化进行相应调整。但在因特殊情况（如流动性不足等）导致本基金无法有效复制和跟踪标的指数时，基金管理人将运用其他合理的投资方法构建本基金的实际投资组合，追求尽可能贴近标的指数的表现。</w:t>
      </w:r>
    </w:p>
    <w:p w14:paraId="1DFA0EA8"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特殊情况包括但不限于以下情形：（1）法律法规的限制；（2）标的指数</w:t>
      </w:r>
      <w:r>
        <w:rPr>
          <w:rStyle w:val="custom"/>
          <w:rFonts w:ascii="宋体" w:hAnsi="宋体" w:cs="宋体"/>
          <w:kern w:val="0"/>
          <w:sz w:val="24"/>
          <w:szCs w:val="24"/>
        </w:rPr>
        <w:lastRenderedPageBreak/>
        <w:t>成份股流动性严重不足；（3）标的指数的成份股票长期停牌；（4）其它合理原因导致本基金管理人对标的指数的跟踪构成严重制约等。</w:t>
      </w:r>
    </w:p>
    <w:p w14:paraId="1D110CFD"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本基金力争日均跟踪偏离度的绝对值不超过0.2%，年跟踪误差不超过</w:t>
      </w:r>
      <w:r>
        <w:rPr>
          <w:rStyle w:val="custom1"/>
          <w:rFonts w:ascii="宋体" w:hAnsi="宋体" w:cs="宋体"/>
          <w:kern w:val="0"/>
          <w:sz w:val="24"/>
          <w:szCs w:val="24"/>
        </w:rPr>
        <w:t>2%</w:t>
      </w:r>
      <w:r>
        <w:rPr>
          <w:rStyle w:val="custom"/>
          <w:rFonts w:ascii="宋体" w:hAnsi="宋体" w:cs="宋体"/>
          <w:kern w:val="0"/>
          <w:sz w:val="24"/>
          <w:szCs w:val="24"/>
        </w:rPr>
        <w:t>。如因标的指数编制规则调整等其他原因，导致基金跟踪偏离度和跟踪误差超过上述范围，基金管理人应采取合理措施，避免跟踪偏离度和跟踪误差的进一步扩大。</w:t>
      </w:r>
    </w:p>
    <w:p w14:paraId="322C041A"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本基金运作过程中，当标的指数成份股发生明显负面事件面临退市，且指数编制机构暂未</w:t>
      </w:r>
      <w:proofErr w:type="gramStart"/>
      <w:r>
        <w:rPr>
          <w:rStyle w:val="custom"/>
          <w:rFonts w:ascii="宋体" w:hAnsi="宋体" w:cs="宋体"/>
          <w:kern w:val="0"/>
          <w:sz w:val="24"/>
          <w:szCs w:val="24"/>
        </w:rPr>
        <w:t>作出</w:t>
      </w:r>
      <w:proofErr w:type="gramEnd"/>
      <w:r>
        <w:rPr>
          <w:rStyle w:val="custom"/>
          <w:rFonts w:ascii="宋体" w:hAnsi="宋体" w:cs="宋体"/>
          <w:kern w:val="0"/>
          <w:sz w:val="24"/>
          <w:szCs w:val="24"/>
        </w:rPr>
        <w:t>调整的，基金管理人应当按照基金份额持有人利益优先的原则，履行内部决策程序后及时对相关成份股进行调整。</w:t>
      </w:r>
    </w:p>
    <w:p w14:paraId="5DA62A24" w14:textId="77777777" w:rsidR="006D7D7F" w:rsidRDefault="008841B6">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1、</w:t>
      </w:r>
      <w:r>
        <w:rPr>
          <w:rStyle w:val="custom"/>
          <w:rFonts w:ascii="宋体" w:hAnsi="宋体" w:cs="宋体"/>
          <w:kern w:val="0"/>
          <w:sz w:val="24"/>
          <w:szCs w:val="24"/>
        </w:rPr>
        <w:t>资产配置策略</w:t>
      </w:r>
    </w:p>
    <w:p w14:paraId="4AAB98F8"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本基金管理人完全按照标的指数的成份</w:t>
      </w:r>
      <w:proofErr w:type="gramStart"/>
      <w:r>
        <w:rPr>
          <w:rStyle w:val="custom"/>
          <w:rFonts w:ascii="宋体" w:hAnsi="宋体" w:cs="宋体"/>
          <w:kern w:val="0"/>
          <w:sz w:val="24"/>
          <w:szCs w:val="24"/>
        </w:rPr>
        <w:t>股组成</w:t>
      </w:r>
      <w:proofErr w:type="gramEnd"/>
      <w:r>
        <w:rPr>
          <w:rStyle w:val="custom"/>
          <w:rFonts w:ascii="宋体" w:hAnsi="宋体" w:cs="宋体"/>
          <w:kern w:val="0"/>
          <w:sz w:val="24"/>
          <w:szCs w:val="24"/>
        </w:rPr>
        <w:t>及其权重构建基金股票投资组合，并根据标的指数成份股及其权重的变化进行相应调整。本基金投资于标的指数成份股和备选成份股的比例不低于基金资产净值的90%，且不低于非现金基金资产的80%，股指期货、国债期货、股票期权及其他金融工具的投资比例依照法律法规或监管机构的规定执行。</w:t>
      </w:r>
    </w:p>
    <w:p w14:paraId="34183F88" w14:textId="77777777" w:rsidR="006D7D7F" w:rsidRDefault="008841B6">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2、</w:t>
      </w:r>
      <w:r>
        <w:rPr>
          <w:rStyle w:val="custom"/>
          <w:rFonts w:ascii="宋体" w:hAnsi="宋体" w:cs="宋体"/>
          <w:kern w:val="0"/>
          <w:sz w:val="24"/>
          <w:szCs w:val="24"/>
        </w:rPr>
        <w:t>债券投资策略</w:t>
      </w:r>
    </w:p>
    <w:p w14:paraId="214A0B4A"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本基金管理人将基于对国内外宏观经济形势的深入分析、国内财政政策与货币市场政策等因素对债券市场的影响，进行合理的利率预期，判断债券市场的基本走势，</w:t>
      </w:r>
      <w:proofErr w:type="gramStart"/>
      <w:r>
        <w:rPr>
          <w:rStyle w:val="custom"/>
          <w:rFonts w:ascii="宋体" w:hAnsi="宋体" w:cs="宋体"/>
          <w:kern w:val="0"/>
          <w:sz w:val="24"/>
          <w:szCs w:val="24"/>
        </w:rPr>
        <w:t>制定久期控制</w:t>
      </w:r>
      <w:proofErr w:type="gramEnd"/>
      <w:r>
        <w:rPr>
          <w:rStyle w:val="custom"/>
          <w:rFonts w:ascii="宋体" w:hAnsi="宋体" w:cs="宋体"/>
          <w:kern w:val="0"/>
          <w:sz w:val="24"/>
          <w:szCs w:val="24"/>
        </w:rPr>
        <w:t>下的资产类属配置策略。在债券投资组合构建和管理过程中，本基金管理人将具体采用期限结构配置、市场转换、信用利差和相对价值判断、信用风险评估、现金管理等管理手段进行个</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选择。本基金债券投资的目的是在保证基金资产流动性的基础上，降低跟踪误差。</w:t>
      </w:r>
    </w:p>
    <w:p w14:paraId="309FE947" w14:textId="77777777" w:rsidR="006D7D7F" w:rsidRDefault="008841B6">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3、</w:t>
      </w:r>
      <w:r>
        <w:rPr>
          <w:rStyle w:val="custom"/>
          <w:rFonts w:ascii="宋体" w:hAnsi="宋体" w:cs="宋体"/>
          <w:kern w:val="0"/>
          <w:sz w:val="24"/>
          <w:szCs w:val="24"/>
        </w:rPr>
        <w:t>资产支持证券投资策略</w:t>
      </w:r>
    </w:p>
    <w:p w14:paraId="01C52901"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w:t>
      </w:r>
      <w:proofErr w:type="gramStart"/>
      <w:r>
        <w:rPr>
          <w:rStyle w:val="custom"/>
          <w:rFonts w:ascii="宋体" w:hAnsi="宋体" w:cs="宋体"/>
          <w:kern w:val="0"/>
          <w:sz w:val="24"/>
          <w:szCs w:val="24"/>
        </w:rPr>
        <w:t>作出</w:t>
      </w:r>
      <w:proofErr w:type="gramEnd"/>
      <w:r>
        <w:rPr>
          <w:rStyle w:val="custom"/>
          <w:rFonts w:ascii="宋体" w:hAnsi="宋体" w:cs="宋体"/>
          <w:kern w:val="0"/>
          <w:sz w:val="24"/>
          <w:szCs w:val="24"/>
        </w:rPr>
        <w:t>相应的投资决策。</w:t>
      </w:r>
    </w:p>
    <w:p w14:paraId="03C2C789"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4、金融衍生工具投资策略</w:t>
      </w:r>
    </w:p>
    <w:p w14:paraId="626D80C7"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本基金将基于谨慎原则运用金融衍生工具对基金投资组合进行管理，以控制并降低投资组合风险、提高投资效率，降低跟踪误差，从而更好地实现本基</w:t>
      </w:r>
      <w:r>
        <w:rPr>
          <w:rStyle w:val="custom"/>
          <w:rFonts w:ascii="宋体" w:hAnsi="宋体" w:cs="宋体"/>
          <w:kern w:val="0"/>
          <w:sz w:val="24"/>
          <w:szCs w:val="24"/>
        </w:rPr>
        <w:lastRenderedPageBreak/>
        <w:t>金的投资目标。</w:t>
      </w:r>
    </w:p>
    <w:p w14:paraId="1DF230FF"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本基金将根据风险管理的原则，以套期保值为目的，主要选择流动性好、交易活跃的股指期货合约进行投资，以降低交易成本，提高投资效率，从而更好地跟踪标的指数。</w:t>
      </w:r>
    </w:p>
    <w:p w14:paraId="6F4E619A"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本基金将根据风险管理的原则，以套期保值为目的，结合对宏观经济形势和政策趋势的判断、对债券市场进行定性和定量分析，充分考虑国债期货流动性和风险收益特征，参与国债期货的投资。</w:t>
      </w:r>
    </w:p>
    <w:p w14:paraId="2D034F47"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本基金将根据风险管理的原则，以套期保值为主要目的，参与股票期权交易。本基金将结合投资目标、比例限制、风险收益特征以及法律法规的相关限定和要求，确定参与股票期权交易的投资时机和投资比例。</w:t>
      </w:r>
    </w:p>
    <w:p w14:paraId="730513DB"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影响的情况下，无需召开基金份额持有人大会。</w:t>
      </w:r>
    </w:p>
    <w:p w14:paraId="24D7BA30"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5、参与融资投资策略</w:t>
      </w:r>
    </w:p>
    <w:p w14:paraId="030E8035"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本基金将在充分考虑风险和收益特征的基础上，审慎参与融资。本基金将基于对市场行情和组合风险收益的分析，确定投资时机、标的证券以及投资比例。</w:t>
      </w:r>
      <w:proofErr w:type="gramStart"/>
      <w:r>
        <w:rPr>
          <w:rStyle w:val="custom"/>
          <w:rFonts w:ascii="宋体" w:hAnsi="宋体" w:cs="宋体"/>
          <w:kern w:val="0"/>
          <w:sz w:val="24"/>
          <w:szCs w:val="24"/>
        </w:rPr>
        <w:t>若相关</w:t>
      </w:r>
      <w:proofErr w:type="gramEnd"/>
      <w:r>
        <w:rPr>
          <w:rStyle w:val="custom"/>
          <w:rFonts w:ascii="宋体" w:hAnsi="宋体" w:cs="宋体"/>
          <w:kern w:val="0"/>
          <w:sz w:val="24"/>
          <w:szCs w:val="24"/>
        </w:rPr>
        <w:t>融资业务法律法规和监管要求发生变化，本基金将从其最新规定，以符合上述法律法规和监管要求的变化。</w:t>
      </w:r>
    </w:p>
    <w:p w14:paraId="5E5930A4"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6、参与转融通证券出借业务策略</w:t>
      </w:r>
    </w:p>
    <w:p w14:paraId="1EABF70C"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为更好地实现投资目标，在加强风险防范并遵守审慎原则的前提下，本基金可根据投资管理的需要参与转融通证券出借业务。本基金将在分析市场环境、投资者类型与结构、基金</w:t>
      </w:r>
      <w:proofErr w:type="gramStart"/>
      <w:r>
        <w:rPr>
          <w:rStyle w:val="custom"/>
          <w:rFonts w:ascii="宋体" w:hAnsi="宋体" w:cs="宋体"/>
          <w:kern w:val="0"/>
          <w:sz w:val="24"/>
          <w:szCs w:val="24"/>
        </w:rPr>
        <w:t>历史申赎情况</w:t>
      </w:r>
      <w:proofErr w:type="gramEnd"/>
      <w:r>
        <w:rPr>
          <w:rStyle w:val="custom"/>
          <w:rFonts w:ascii="宋体" w:hAnsi="宋体" w:cs="宋体"/>
          <w:kern w:val="0"/>
          <w:sz w:val="24"/>
          <w:szCs w:val="24"/>
        </w:rPr>
        <w:t>、出借证券流动性情况等因素的基础上，合理确定出借证券的范围、期限和比例。</w:t>
      </w:r>
    </w:p>
    <w:p w14:paraId="46314E51"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7、存托凭证的投资策略</w:t>
      </w:r>
    </w:p>
    <w:p w14:paraId="6C9653C9"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本基金在综合考虑预期收益、风险、流动性等因素的基础上，根据审慎原</w:t>
      </w:r>
      <w:r>
        <w:rPr>
          <w:rStyle w:val="custom"/>
          <w:rFonts w:ascii="宋体" w:hAnsi="宋体" w:cs="宋体"/>
          <w:kern w:val="0"/>
          <w:sz w:val="24"/>
          <w:szCs w:val="24"/>
        </w:rPr>
        <w:lastRenderedPageBreak/>
        <w:t>则合理参与存托凭证的投资。</w:t>
      </w:r>
    </w:p>
    <w:p w14:paraId="5E194878"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四、</w:t>
      </w:r>
      <w:r>
        <w:rPr>
          <w:rFonts w:ascii="宋体" w:hAnsi="宋体" w:cs="宋体"/>
          <w:kern w:val="0"/>
          <w:sz w:val="24"/>
          <w:szCs w:val="24"/>
        </w:rPr>
        <w:t>投资限制</w:t>
      </w:r>
    </w:p>
    <w:p w14:paraId="0AFE0694"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1、组合限制</w:t>
      </w:r>
    </w:p>
    <w:p w14:paraId="4E4F0D38"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基金的投资组合应遵循以下限制：</w:t>
      </w:r>
    </w:p>
    <w:p w14:paraId="49BAF2B0"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（1）本基金投资于标的指数成份股和备选成份股的比例不低于基金资产净值的90%，且不低于非现金基金资产的80%；</w:t>
      </w:r>
    </w:p>
    <w:p w14:paraId="23FD1F82"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（2）本基金投资于同一原始权益人的各类资产支持证券的比例，不得超过基金资产净值的10%；</w:t>
      </w:r>
    </w:p>
    <w:p w14:paraId="40AE8256"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（3）本基金持有的全部资产支持证券，其市值不得超过基金资产净值的20%；</w:t>
      </w:r>
    </w:p>
    <w:p w14:paraId="01CAFB5B"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（4）本基金持有的同一(指同一信用级别)资产支持证券的比例，不得超过该资产支持证券规模的10%；</w:t>
      </w:r>
    </w:p>
    <w:p w14:paraId="63198AED"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（5）本基金管理人管理的全部基金投资于同一原始权益人的各类资产支持证券，不得超过其各类资产支持证券合计规模的10%；</w:t>
      </w:r>
    </w:p>
    <w:p w14:paraId="65F3A121" w14:textId="77777777" w:rsidR="006D7D7F" w:rsidRDefault="008841B6">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（6）</w:t>
      </w:r>
      <w:r>
        <w:rPr>
          <w:rStyle w:val="custom"/>
          <w:rFonts w:ascii="宋体" w:hAnsi="宋体" w:cs="宋体"/>
          <w:kern w:val="0"/>
          <w:sz w:val="24"/>
          <w:szCs w:val="24"/>
        </w:rPr>
        <w:t>本基金应投资于信用级别评级为BBB以上(含BBB)的资产支持证券。基金持有资产支持证券期间，如果其信用等级下降、不再符合投资标准，应在评级报告发布之日起3个月内予以全部卖出；</w:t>
      </w:r>
    </w:p>
    <w:p w14:paraId="4E796992"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（7）基金财产参与股票发行申购，本基金所申报的金额不超过本基金的总资产，本基金所申报的股票数量不超过拟发行股票公司本次发行股票的总量；</w:t>
      </w:r>
    </w:p>
    <w:p w14:paraId="22D3E62D"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（8）本基金参与股指期货和国债期货交易的，应当遵守下列要求：</w:t>
      </w:r>
    </w:p>
    <w:p w14:paraId="3632018C"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1）本基金在任何交易日日终，持有的买入股指期货合约价值，不得超过基金资产净值的10%；持有的买入国债期货合约价值，不得超过基金资产净值的15%；</w:t>
      </w:r>
    </w:p>
    <w:p w14:paraId="3772305A"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32B5B407"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3）本基金在任何交易日日终，持有的卖出股指期货合约价值不得超过基金持有的股票总市值的20%；持有的卖出国债期货合约价值不得超过基金持有的</w:t>
      </w:r>
      <w:r>
        <w:rPr>
          <w:rStyle w:val="custom"/>
          <w:rFonts w:ascii="宋体" w:hAnsi="宋体" w:cs="宋体"/>
          <w:kern w:val="0"/>
          <w:sz w:val="24"/>
          <w:szCs w:val="24"/>
        </w:rPr>
        <w:lastRenderedPageBreak/>
        <w:t>债券总市值的30%；</w:t>
      </w:r>
    </w:p>
    <w:p w14:paraId="7FC84762"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4）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14:paraId="41676872"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5）本基金在任何交易日内交易（不包括平仓）的股指期货合约的成交金额不得超过上一交易日基金资产净值的20%；在任何交易日内交易（不包括平仓）的国债期货合约的成交金额不得超过上一交易日基金资产净值的30%；</w:t>
      </w:r>
    </w:p>
    <w:p w14:paraId="371EC258"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6）本基金每个交易日日终在扣除国债期货和股指期货合约需缴纳的交易保证金后，应当保持不低于交易保证金一倍的现金，其中现金不包括结算备付金、存出保证金、应收申购款等；</w:t>
      </w:r>
    </w:p>
    <w:p w14:paraId="32127725"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（9）因未平仓的股票期权合约支付和收取的权利金总额不得超过基金资产净值的10%；开仓卖出认购股票期权的，应持有足额标的证券；开仓卖出认</w:t>
      </w:r>
      <w:proofErr w:type="gramStart"/>
      <w:r>
        <w:rPr>
          <w:rStyle w:val="custom"/>
          <w:rFonts w:ascii="宋体" w:hAnsi="宋体" w:cs="宋体"/>
          <w:kern w:val="0"/>
          <w:sz w:val="24"/>
          <w:szCs w:val="24"/>
        </w:rPr>
        <w:t>沽股票</w:t>
      </w:r>
      <w:proofErr w:type="gramEnd"/>
      <w:r>
        <w:rPr>
          <w:rStyle w:val="custom"/>
          <w:rFonts w:ascii="宋体" w:hAnsi="宋体" w:cs="宋体"/>
          <w:kern w:val="0"/>
          <w:sz w:val="24"/>
          <w:szCs w:val="24"/>
        </w:rPr>
        <w:t>期权的，应持有合约行权所需的全额现金或交易所规则认可的可冲抵期权保证金的现金等价物；未平仓的股票期权合约面值不得超过基金资产净值的20%。其中，合约面值按照行权价乘以合约乘数计算；</w:t>
      </w:r>
    </w:p>
    <w:p w14:paraId="0971A3BB"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（10）本基金参与融资的，每个交易日日终，本基金持有的融资买入股票与其他有价证券市值之和，不得超过基金资产净值的95%；</w:t>
      </w:r>
    </w:p>
    <w:p w14:paraId="67A2F5E1" w14:textId="77777777" w:rsidR="006D7D7F" w:rsidRDefault="008841B6">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（11）</w:t>
      </w:r>
      <w:r>
        <w:rPr>
          <w:rStyle w:val="custom"/>
          <w:rFonts w:ascii="宋体" w:hAnsi="宋体" w:cs="宋体"/>
          <w:kern w:val="0"/>
          <w:sz w:val="24"/>
          <w:szCs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14:paraId="71BF945F" w14:textId="77777777" w:rsidR="006D7D7F" w:rsidRDefault="008841B6">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（12）</w:t>
      </w:r>
      <w:r>
        <w:rPr>
          <w:rStyle w:val="custom"/>
          <w:rFonts w:ascii="宋体" w:hAnsi="宋体" w:cs="宋体"/>
          <w:kern w:val="0"/>
          <w:sz w:val="24"/>
          <w:szCs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DAC0655" w14:textId="77777777" w:rsidR="006D7D7F" w:rsidRDefault="008841B6">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（13）</w:t>
      </w:r>
      <w:r>
        <w:rPr>
          <w:rStyle w:val="custom"/>
          <w:rFonts w:ascii="宋体" w:hAnsi="宋体" w:cs="宋体"/>
          <w:kern w:val="0"/>
          <w:sz w:val="24"/>
          <w:szCs w:val="24"/>
        </w:rPr>
        <w:t>本基金与私募类</w:t>
      </w:r>
      <w:proofErr w:type="gramStart"/>
      <w:r>
        <w:rPr>
          <w:rStyle w:val="custom"/>
          <w:rFonts w:ascii="宋体" w:hAnsi="宋体" w:cs="宋体"/>
          <w:kern w:val="0"/>
          <w:sz w:val="24"/>
          <w:szCs w:val="24"/>
        </w:rPr>
        <w:t>证券资管产品</w:t>
      </w:r>
      <w:proofErr w:type="gramEnd"/>
      <w:r>
        <w:rPr>
          <w:rStyle w:val="custom"/>
          <w:rFonts w:ascii="宋体" w:hAnsi="宋体" w:cs="宋体"/>
          <w:kern w:val="0"/>
          <w:sz w:val="24"/>
          <w:szCs w:val="24"/>
        </w:rPr>
        <w:t>及中国证监会认定的其他主体为交易</w:t>
      </w:r>
      <w:r>
        <w:rPr>
          <w:rStyle w:val="custom"/>
          <w:rFonts w:ascii="宋体" w:hAnsi="宋体" w:cs="宋体"/>
          <w:kern w:val="0"/>
          <w:sz w:val="24"/>
          <w:szCs w:val="24"/>
        </w:rPr>
        <w:lastRenderedPageBreak/>
        <w:t>对手开展逆回购交易的，可接受质押品的资质要求应当与本基金合同约定的投资范围保持一致；</w:t>
      </w:r>
    </w:p>
    <w:p w14:paraId="2B7BD49B"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（14）本基金资产总值不超过基金资产净值的140%；</w:t>
      </w:r>
    </w:p>
    <w:p w14:paraId="4897FD19"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（15）本基金投资存托凭证的比例限制依照境内上市交易的股票执行；</w:t>
      </w:r>
    </w:p>
    <w:p w14:paraId="09D58A2B"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（16）法律法规及中国证监会规定的和《基金合同》约定的其他投资限制。</w:t>
      </w:r>
    </w:p>
    <w:p w14:paraId="60223E2E"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除上述第</w:t>
      </w:r>
      <w:r>
        <w:rPr>
          <w:rStyle w:val="custom1"/>
          <w:rFonts w:ascii="宋体" w:hAnsi="宋体" w:cs="宋体"/>
          <w:kern w:val="0"/>
          <w:sz w:val="24"/>
          <w:szCs w:val="24"/>
        </w:rPr>
        <w:t>（6）</w:t>
      </w:r>
      <w:r>
        <w:rPr>
          <w:rStyle w:val="custom"/>
          <w:rFonts w:ascii="宋体" w:hAnsi="宋体" w:cs="宋体"/>
          <w:kern w:val="0"/>
          <w:sz w:val="24"/>
          <w:szCs w:val="24"/>
        </w:rPr>
        <w:t>、</w:t>
      </w:r>
      <w:r>
        <w:rPr>
          <w:rStyle w:val="custom1"/>
          <w:rFonts w:ascii="宋体" w:hAnsi="宋体" w:cs="宋体"/>
          <w:kern w:val="0"/>
          <w:sz w:val="24"/>
          <w:szCs w:val="24"/>
        </w:rPr>
        <w:t>（11）</w:t>
      </w:r>
      <w:r>
        <w:rPr>
          <w:rStyle w:val="custom"/>
          <w:rFonts w:ascii="宋体" w:hAnsi="宋体" w:cs="宋体"/>
          <w:kern w:val="0"/>
          <w:sz w:val="24"/>
          <w:szCs w:val="24"/>
        </w:rPr>
        <w:t>、</w:t>
      </w:r>
      <w:r>
        <w:rPr>
          <w:rStyle w:val="custom1"/>
          <w:rFonts w:ascii="宋体" w:hAnsi="宋体" w:cs="宋体"/>
          <w:kern w:val="0"/>
          <w:sz w:val="24"/>
          <w:szCs w:val="24"/>
        </w:rPr>
        <w:t>（12）</w:t>
      </w:r>
      <w:r>
        <w:rPr>
          <w:rStyle w:val="custom"/>
          <w:rFonts w:ascii="宋体" w:hAnsi="宋体" w:cs="宋体"/>
          <w:kern w:val="0"/>
          <w:sz w:val="24"/>
          <w:szCs w:val="24"/>
        </w:rPr>
        <w:t>、</w:t>
      </w:r>
      <w:r>
        <w:rPr>
          <w:rStyle w:val="custom1"/>
          <w:rFonts w:ascii="宋体" w:hAnsi="宋体" w:cs="宋体"/>
          <w:kern w:val="0"/>
          <w:sz w:val="24"/>
          <w:szCs w:val="24"/>
        </w:rPr>
        <w:t>（13）</w:t>
      </w:r>
      <w:r>
        <w:rPr>
          <w:rStyle w:val="custom"/>
          <w:rFonts w:ascii="宋体" w:hAnsi="宋体" w:cs="宋体"/>
          <w:kern w:val="0"/>
          <w:sz w:val="24"/>
          <w:szCs w:val="24"/>
        </w:rPr>
        <w:t>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w:t>
      </w:r>
    </w:p>
    <w:p w14:paraId="1CB84B25"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因证券市场波动、证券发行人合并、基金规模变动等基金管理人之外的因素致使基金投资不符合第（11）项规定的，基金管理人不得新增出借业务。</w:t>
      </w:r>
    </w:p>
    <w:p w14:paraId="65279B83" w14:textId="77777777" w:rsidR="006D7D7F" w:rsidRDefault="008841B6">
      <w:pPr>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法律法规另有规定的从其规定。</w:t>
      </w:r>
    </w:p>
    <w:p w14:paraId="3B85DEF6"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19C74C33"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0DC30949"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2、禁止行为</w:t>
      </w:r>
    </w:p>
    <w:p w14:paraId="0E47F74F"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为维护基金份额持有人的合法权益，基金财产不得用于下列投资或者活动：</w:t>
      </w:r>
    </w:p>
    <w:p w14:paraId="79E7579B"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（1）承销证券；</w:t>
      </w:r>
    </w:p>
    <w:p w14:paraId="3B18C135"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（2）违反规定向他人贷款或者提供担保；</w:t>
      </w:r>
    </w:p>
    <w:p w14:paraId="3FB8D74F"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（3）从事承担无限责任的投资；</w:t>
      </w:r>
    </w:p>
    <w:p w14:paraId="3128CF5C"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（4）买卖其他基金份额，但是法律法规或中国证监会另有规定的除外；</w:t>
      </w:r>
    </w:p>
    <w:p w14:paraId="05A7D837"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（5）向其基金管理人、基金托管人出资；</w:t>
      </w:r>
    </w:p>
    <w:p w14:paraId="131E56A7"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（6）从事内幕交易、操纵证券交易价格及其他不正当的证券交易活动；</w:t>
      </w:r>
    </w:p>
    <w:p w14:paraId="0DEEFFA4"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lastRenderedPageBreak/>
        <w:t>（7）法律、行政法规和中国证监会规定禁止的其他活动。</w:t>
      </w:r>
    </w:p>
    <w:p w14:paraId="24D1E82F"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3C50FFE"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5A035099"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五、</w:t>
      </w:r>
      <w:r>
        <w:rPr>
          <w:rFonts w:ascii="宋体" w:hAnsi="宋体" w:cs="宋体"/>
          <w:kern w:val="0"/>
          <w:sz w:val="24"/>
          <w:szCs w:val="24"/>
        </w:rPr>
        <w:t>业绩比较基准</w:t>
      </w:r>
    </w:p>
    <w:p w14:paraId="16081218" w14:textId="5C8014CA"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本基金业绩比较基准为：</w:t>
      </w:r>
      <w:proofErr w:type="gramStart"/>
      <w:r>
        <w:rPr>
          <w:rStyle w:val="custom"/>
          <w:rFonts w:ascii="宋体" w:hAnsi="宋体" w:cs="宋体"/>
          <w:kern w:val="0"/>
          <w:sz w:val="24"/>
          <w:szCs w:val="24"/>
        </w:rPr>
        <w:t>国证价值</w:t>
      </w:r>
      <w:proofErr w:type="gramEnd"/>
      <w:r>
        <w:rPr>
          <w:rStyle w:val="custom"/>
          <w:rFonts w:ascii="宋体" w:hAnsi="宋体" w:cs="宋体"/>
          <w:kern w:val="0"/>
          <w:sz w:val="24"/>
          <w:szCs w:val="24"/>
        </w:rPr>
        <w:t>100指数收益率</w:t>
      </w:r>
      <w:r w:rsidRPr="00D36E64">
        <w:rPr>
          <w:rStyle w:val="custom"/>
          <w:rFonts w:ascii="宋体" w:hAnsi="宋体" w:cs="宋体" w:hint="eastAsia"/>
          <w:kern w:val="0"/>
          <w:sz w:val="24"/>
          <w:szCs w:val="24"/>
        </w:rPr>
        <w:t>。</w:t>
      </w:r>
    </w:p>
    <w:p w14:paraId="4EAACE84" w14:textId="77777777"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1、业绩比较基准设定的原因</w:t>
      </w:r>
    </w:p>
    <w:p w14:paraId="09C16B18" w14:textId="39747E0F"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本基金为股票型ETF,主要采用完全复制法跟踪标的指数，追求跟踪偏离度和跟踪误差的最小化。本基金的标的指数为</w:t>
      </w:r>
      <w:r>
        <w:rPr>
          <w:rStyle w:val="custom"/>
          <w:rFonts w:ascii="宋体" w:hAnsi="宋体" w:cs="宋体"/>
          <w:kern w:val="0"/>
          <w:sz w:val="24"/>
          <w:szCs w:val="24"/>
        </w:rPr>
        <w:t>国</w:t>
      </w:r>
      <w:proofErr w:type="gramStart"/>
      <w:r>
        <w:rPr>
          <w:rStyle w:val="custom"/>
          <w:rFonts w:ascii="宋体" w:hAnsi="宋体" w:cs="宋体"/>
          <w:kern w:val="0"/>
          <w:sz w:val="24"/>
          <w:szCs w:val="24"/>
        </w:rPr>
        <w:t>证价值</w:t>
      </w:r>
      <w:proofErr w:type="gramEnd"/>
      <w:r>
        <w:rPr>
          <w:rStyle w:val="custom"/>
          <w:rFonts w:ascii="宋体" w:hAnsi="宋体" w:cs="宋体"/>
          <w:kern w:val="0"/>
          <w:sz w:val="24"/>
          <w:szCs w:val="24"/>
        </w:rPr>
        <w:t>100指数</w:t>
      </w:r>
      <w:r w:rsidRPr="00D36E64">
        <w:rPr>
          <w:rStyle w:val="custom"/>
          <w:rFonts w:ascii="宋体" w:hAnsi="宋体" w:cs="宋体" w:hint="eastAsia"/>
          <w:kern w:val="0"/>
          <w:sz w:val="24"/>
          <w:szCs w:val="24"/>
        </w:rPr>
        <w:t>，相应</w:t>
      </w:r>
      <w:proofErr w:type="gramStart"/>
      <w:r w:rsidRPr="00D36E64">
        <w:rPr>
          <w:rStyle w:val="custom"/>
          <w:rFonts w:ascii="宋体" w:hAnsi="宋体" w:cs="宋体" w:hint="eastAsia"/>
          <w:kern w:val="0"/>
          <w:sz w:val="24"/>
          <w:szCs w:val="24"/>
        </w:rPr>
        <w:t>选取</w:t>
      </w:r>
      <w:r>
        <w:rPr>
          <w:rStyle w:val="custom"/>
          <w:rFonts w:ascii="宋体" w:hAnsi="宋体" w:cs="宋体"/>
          <w:kern w:val="0"/>
          <w:sz w:val="24"/>
          <w:szCs w:val="24"/>
        </w:rPr>
        <w:t>国证价值</w:t>
      </w:r>
      <w:proofErr w:type="gramEnd"/>
      <w:r>
        <w:rPr>
          <w:rStyle w:val="custom"/>
          <w:rFonts w:ascii="宋体" w:hAnsi="宋体" w:cs="宋体"/>
          <w:kern w:val="0"/>
          <w:sz w:val="24"/>
          <w:szCs w:val="24"/>
        </w:rPr>
        <w:t>100指数</w:t>
      </w:r>
      <w:r w:rsidRPr="00D36E64">
        <w:rPr>
          <w:rStyle w:val="custom"/>
          <w:rFonts w:ascii="宋体" w:hAnsi="宋体" w:cs="宋体" w:hint="eastAsia"/>
          <w:kern w:val="0"/>
          <w:sz w:val="24"/>
          <w:szCs w:val="24"/>
        </w:rPr>
        <w:t>作为基准要素，同时将</w:t>
      </w:r>
      <w:proofErr w:type="gramStart"/>
      <w:r>
        <w:rPr>
          <w:rStyle w:val="custom"/>
          <w:rFonts w:ascii="宋体" w:hAnsi="宋体" w:cs="宋体"/>
          <w:kern w:val="0"/>
          <w:sz w:val="24"/>
          <w:szCs w:val="24"/>
        </w:rPr>
        <w:t>国证价值</w:t>
      </w:r>
      <w:proofErr w:type="gramEnd"/>
      <w:r>
        <w:rPr>
          <w:rStyle w:val="custom"/>
          <w:rFonts w:ascii="宋体" w:hAnsi="宋体" w:cs="宋体"/>
          <w:kern w:val="0"/>
          <w:sz w:val="24"/>
          <w:szCs w:val="24"/>
        </w:rPr>
        <w:t>100指数</w:t>
      </w:r>
      <w:r w:rsidRPr="00D36E64">
        <w:rPr>
          <w:rStyle w:val="custom"/>
          <w:rFonts w:ascii="宋体" w:hAnsi="宋体" w:cs="宋体" w:hint="eastAsia"/>
          <w:kern w:val="0"/>
          <w:sz w:val="24"/>
          <w:szCs w:val="24"/>
        </w:rPr>
        <w:t>的基准要素权重设置为100%。</w:t>
      </w:r>
    </w:p>
    <w:p w14:paraId="5C363E4D" w14:textId="77777777"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综上，本基金选取的业绩比较基准与基金投资目标、投资范围、投资策略、投资比例限制相匹配。</w:t>
      </w:r>
    </w:p>
    <w:p w14:paraId="2800EDDC" w14:textId="77777777"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2、业绩比较基准要素的基本信息</w:t>
      </w:r>
    </w:p>
    <w:p w14:paraId="46B1DB40" w14:textId="643BBDD3" w:rsidR="00D36E64" w:rsidRPr="00D36E64" w:rsidRDefault="00D36E64" w:rsidP="00D86F43">
      <w:pPr>
        <w:pStyle w:val="div"/>
        <w:spacing w:line="360" w:lineRule="auto"/>
        <w:ind w:firstLine="480"/>
        <w:rPr>
          <w:rStyle w:val="custom"/>
          <w:rFonts w:ascii="宋体" w:hAnsi="宋体" w:cs="宋体"/>
          <w:kern w:val="0"/>
          <w:sz w:val="24"/>
          <w:szCs w:val="24"/>
        </w:rPr>
      </w:pPr>
      <w:proofErr w:type="gramStart"/>
      <w:r>
        <w:rPr>
          <w:rStyle w:val="custom"/>
          <w:rFonts w:ascii="宋体" w:hAnsi="宋体" w:cs="宋体"/>
          <w:kern w:val="0"/>
          <w:sz w:val="24"/>
          <w:szCs w:val="24"/>
        </w:rPr>
        <w:t>国证价值</w:t>
      </w:r>
      <w:proofErr w:type="gramEnd"/>
      <w:r>
        <w:rPr>
          <w:rStyle w:val="custom"/>
          <w:rFonts w:ascii="宋体" w:hAnsi="宋体" w:cs="宋体"/>
          <w:kern w:val="0"/>
          <w:sz w:val="24"/>
          <w:szCs w:val="24"/>
        </w:rPr>
        <w:t>100指数</w:t>
      </w:r>
      <w:r w:rsidRPr="00D36E64">
        <w:rPr>
          <w:rStyle w:val="custom"/>
          <w:rFonts w:ascii="宋体" w:hAnsi="宋体" w:cs="宋体" w:hint="eastAsia"/>
          <w:kern w:val="0"/>
          <w:sz w:val="24"/>
          <w:szCs w:val="24"/>
        </w:rPr>
        <w:t>由</w:t>
      </w:r>
      <w:r w:rsidRPr="00794D41">
        <w:rPr>
          <w:rStyle w:val="custom"/>
          <w:rFonts w:ascii="宋体" w:hAnsi="宋体" w:cs="宋体" w:hint="eastAsia"/>
          <w:kern w:val="0"/>
          <w:sz w:val="24"/>
          <w:szCs w:val="24"/>
        </w:rPr>
        <w:t>深圳证券信息有限公司</w:t>
      </w:r>
      <w:r w:rsidRPr="00D36E64">
        <w:rPr>
          <w:rStyle w:val="custom"/>
          <w:rFonts w:ascii="宋体" w:hAnsi="宋体" w:cs="宋体" w:hint="eastAsia"/>
          <w:kern w:val="0"/>
          <w:sz w:val="24"/>
          <w:szCs w:val="24"/>
        </w:rPr>
        <w:t>编制发布，指数代码为</w:t>
      </w:r>
      <w:r w:rsidRPr="00794D41">
        <w:rPr>
          <w:rStyle w:val="custom"/>
          <w:rFonts w:ascii="宋体" w:hAnsi="宋体" w:cs="宋体"/>
          <w:kern w:val="0"/>
          <w:sz w:val="24"/>
          <w:szCs w:val="24"/>
        </w:rPr>
        <w:t>980081</w:t>
      </w:r>
      <w:r w:rsidRPr="00D36E64">
        <w:rPr>
          <w:rStyle w:val="custom"/>
          <w:rFonts w:ascii="宋体" w:hAnsi="宋体" w:cs="宋体" w:hint="eastAsia"/>
          <w:kern w:val="0"/>
          <w:sz w:val="24"/>
          <w:szCs w:val="24"/>
        </w:rPr>
        <w:t>,指数具体信息详见</w:t>
      </w:r>
      <w:r w:rsidR="00DD7122" w:rsidRPr="00794D41">
        <w:rPr>
          <w:rStyle w:val="custom"/>
          <w:rFonts w:ascii="宋体" w:hAnsi="宋体" w:cs="宋体" w:hint="eastAsia"/>
          <w:kern w:val="0"/>
          <w:sz w:val="24"/>
          <w:szCs w:val="24"/>
        </w:rPr>
        <w:t>深圳证券信息有限公司</w:t>
      </w:r>
      <w:r w:rsidRPr="00D36E64">
        <w:rPr>
          <w:rStyle w:val="custom"/>
          <w:rFonts w:ascii="宋体" w:hAnsi="宋体" w:cs="宋体" w:hint="eastAsia"/>
          <w:kern w:val="0"/>
          <w:sz w:val="24"/>
          <w:szCs w:val="24"/>
        </w:rPr>
        <w:t>网站，网址：</w:t>
      </w:r>
      <w:r w:rsidRPr="00D86F43">
        <w:rPr>
          <w:rStyle w:val="custom"/>
        </w:rPr>
        <w:t>www.cnindex.com.cn</w:t>
      </w:r>
      <w:r>
        <w:rPr>
          <w:rStyle w:val="custom"/>
          <w:rFonts w:ascii="宋体" w:hAnsi="宋体" w:cs="宋体" w:hint="eastAsia"/>
          <w:kern w:val="0"/>
          <w:sz w:val="24"/>
          <w:szCs w:val="24"/>
        </w:rPr>
        <w:t>。</w:t>
      </w:r>
    </w:p>
    <w:p w14:paraId="7D65379C" w14:textId="77777777"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3、业绩比较基准的计算方法</w:t>
      </w:r>
    </w:p>
    <w:p w14:paraId="2F134F70" w14:textId="77777777"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本基金业绩比较基准收益率的计算方法以每日收益率为基础，以时间加权为计算原则。</w:t>
      </w:r>
    </w:p>
    <w:p w14:paraId="12DB4798" w14:textId="77777777"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4、管理投资偏离业绩比较基准的定性或定量方法</w:t>
      </w:r>
    </w:p>
    <w:p w14:paraId="015645C6" w14:textId="40AF05CE" w:rsidR="00D36E64" w:rsidRPr="00D36E64" w:rsidRDefault="00D36E64" w:rsidP="00D86F43">
      <w:pPr>
        <w:pStyle w:val="div"/>
        <w:spacing w:line="360" w:lineRule="auto"/>
        <w:ind w:firstLine="480"/>
        <w:rPr>
          <w:rStyle w:val="custom"/>
          <w:rFonts w:ascii="宋体" w:hAnsi="宋体" w:cs="宋体"/>
          <w:kern w:val="0"/>
          <w:sz w:val="24"/>
          <w:szCs w:val="24"/>
        </w:rPr>
      </w:pPr>
      <w:r w:rsidRPr="00D36E64">
        <w:rPr>
          <w:rStyle w:val="custom"/>
          <w:rFonts w:ascii="宋体" w:hAnsi="宋体" w:cs="宋体" w:hint="eastAsia"/>
          <w:kern w:val="0"/>
          <w:sz w:val="24"/>
          <w:szCs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w:t>
      </w:r>
      <w:r w:rsidRPr="00D36E64">
        <w:rPr>
          <w:rStyle w:val="custom"/>
          <w:rFonts w:ascii="宋体" w:hAnsi="宋体" w:cs="宋体" w:hint="eastAsia"/>
          <w:kern w:val="0"/>
          <w:sz w:val="24"/>
          <w:szCs w:val="24"/>
        </w:rPr>
        <w:lastRenderedPageBreak/>
        <w:t>包括成份股替代策略在内的其他指数投资技术适当调整基金投资组合，以达到紧密跟踪标的指数的目的。本基金力争将日均跟踪偏离度的绝对值控制在0.2%以内，</w:t>
      </w:r>
      <w:proofErr w:type="gramStart"/>
      <w:r w:rsidRPr="00D36E64">
        <w:rPr>
          <w:rStyle w:val="custom"/>
          <w:rFonts w:ascii="宋体" w:hAnsi="宋体" w:cs="宋体" w:hint="eastAsia"/>
          <w:kern w:val="0"/>
          <w:sz w:val="24"/>
          <w:szCs w:val="24"/>
        </w:rPr>
        <w:t>年化跟踪误差</w:t>
      </w:r>
      <w:proofErr w:type="gramEnd"/>
      <w:r w:rsidRPr="00D36E64">
        <w:rPr>
          <w:rStyle w:val="custom"/>
          <w:rFonts w:ascii="宋体" w:hAnsi="宋体" w:cs="宋体" w:hint="eastAsia"/>
          <w:kern w:val="0"/>
          <w:sz w:val="24"/>
          <w:szCs w:val="24"/>
        </w:rPr>
        <w:t>控制在2%以内。如因标的指数编制规则调整或其他因素导致跟踪误差超过上述范围的，本基金将采取合理措施避免跟踪误差过大。</w:t>
      </w:r>
    </w:p>
    <w:p w14:paraId="6367E800" w14:textId="77777777" w:rsidR="006D7D7F" w:rsidRDefault="008841B6" w:rsidP="00EC4EBC">
      <w:pPr>
        <w:pStyle w:val="div"/>
        <w:spacing w:line="360" w:lineRule="auto"/>
        <w:ind w:firstLine="480"/>
        <w:jc w:val="left"/>
        <w:rPr>
          <w:rFonts w:ascii="宋体" w:hAnsi="宋体" w:cs="宋体"/>
          <w:kern w:val="0"/>
          <w:sz w:val="24"/>
          <w:szCs w:val="24"/>
        </w:rPr>
      </w:pPr>
      <w:r>
        <w:rPr>
          <w:rStyle w:val="custom"/>
          <w:rFonts w:ascii="宋体" w:hAnsi="宋体" w:cs="宋体" w:hint="eastAsia"/>
          <w:kern w:val="0"/>
          <w:sz w:val="24"/>
          <w:szCs w:val="24"/>
        </w:rPr>
        <w:t>5、</w:t>
      </w:r>
      <w:r w:rsidR="009D39A1">
        <w:rPr>
          <w:rStyle w:val="custom"/>
          <w:rFonts w:ascii="宋体" w:hAnsi="宋体" w:cs="宋体"/>
          <w:kern w:val="0"/>
          <w:sz w:val="24"/>
          <w:szCs w:val="24"/>
        </w:rPr>
        <w:t>未来若出现标的指数不符合要求（因成份股价格波动等指数编制方法变动之外的因素致使标的指数不符合要求的情形除外）</w:t>
      </w:r>
      <w:r w:rsidR="009D39A1">
        <w:rPr>
          <w:rFonts w:ascii="宋体" w:hAnsi="宋体" w:cs="宋体"/>
          <w:kern w:val="0"/>
          <w:sz w:val="24"/>
          <w:szCs w:val="24"/>
        </w:rPr>
        <w:t>、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roofErr w:type="gramStart"/>
      <w:r w:rsidR="009D39A1">
        <w:rPr>
          <w:rFonts w:ascii="宋体" w:hAnsi="宋体" w:cs="宋体"/>
          <w:kern w:val="0"/>
          <w:sz w:val="24"/>
          <w:szCs w:val="24"/>
        </w:rPr>
        <w:t>自指数</w:t>
      </w:r>
      <w:proofErr w:type="gramEnd"/>
      <w:r w:rsidR="009D39A1">
        <w:rPr>
          <w:rFonts w:ascii="宋体" w:hAnsi="宋体" w:cs="宋体"/>
          <w:kern w:val="0"/>
          <w:sz w:val="24"/>
          <w:szCs w:val="24"/>
        </w:rPr>
        <w:t>编制机构停止标的指数的编制及发布</w:t>
      </w:r>
      <w:proofErr w:type="gramStart"/>
      <w:r w:rsidR="009D39A1">
        <w:rPr>
          <w:rFonts w:ascii="宋体" w:hAnsi="宋体" w:cs="宋体"/>
          <w:kern w:val="0"/>
          <w:sz w:val="24"/>
          <w:szCs w:val="24"/>
        </w:rPr>
        <w:t>至解决</w:t>
      </w:r>
      <w:proofErr w:type="gramEnd"/>
      <w:r w:rsidR="009D39A1">
        <w:rPr>
          <w:rFonts w:ascii="宋体" w:hAnsi="宋体" w:cs="宋体"/>
          <w:kern w:val="0"/>
          <w:sz w:val="24"/>
          <w:szCs w:val="24"/>
        </w:rPr>
        <w:t>方案确定期间，基金管理人应按照指数编制机构提供的最近一个交易日的指数信息遵循基金份额持有人利益优先原则维持基金投资运作。</w:t>
      </w:r>
    </w:p>
    <w:p w14:paraId="243C20DE"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法律法规或监管机构另有规定的，从其规定。</w:t>
      </w:r>
    </w:p>
    <w:p w14:paraId="31C5A876" w14:textId="1F020E44"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如本基金标的指数变化，</w:t>
      </w:r>
      <w:proofErr w:type="gramStart"/>
      <w:r>
        <w:rPr>
          <w:rFonts w:ascii="宋体" w:hAnsi="宋体" w:cs="宋体"/>
          <w:kern w:val="0"/>
          <w:sz w:val="24"/>
          <w:szCs w:val="24"/>
        </w:rPr>
        <w:t>则业绩</w:t>
      </w:r>
      <w:proofErr w:type="gramEnd"/>
      <w:r>
        <w:rPr>
          <w:rFonts w:ascii="宋体" w:hAnsi="宋体" w:cs="宋体"/>
          <w:kern w:val="0"/>
          <w:sz w:val="24"/>
          <w:szCs w:val="24"/>
        </w:rPr>
        <w:t>比较基准中的标的指数将相应调整。业绩比较基准的调整根据标的指数的变更程序执行。</w:t>
      </w:r>
      <w:r w:rsidR="009828FD" w:rsidRPr="009828FD">
        <w:rPr>
          <w:rFonts w:ascii="宋体" w:hAnsi="宋体" w:cs="宋体" w:hint="eastAsia"/>
          <w:kern w:val="0"/>
          <w:sz w:val="24"/>
          <w:szCs w:val="24"/>
        </w:rPr>
        <w:t>若本基金调整业绩比较基准的要素权重，本基金将根据法律法规、中国证监会的规定和基金合同约定履行相关程序。</w:t>
      </w:r>
    </w:p>
    <w:p w14:paraId="06DC791C"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14:paraId="531ECA2A"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本基金属于股票型基金，其预期的风险与收益高于混合型基金、债券型基金与货币市场基金。同时本基金为指数基金，主要采用完全复制法跟踪标的指数表现，具有与标的指数相似的风险收益特征。</w:t>
      </w:r>
    </w:p>
    <w:p w14:paraId="5F3E806D"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七、基金管理人代表基金行使股东或债权人权利的处理原则及方法</w:t>
      </w:r>
    </w:p>
    <w:p w14:paraId="7BD1C743"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1、基金管理人按照国家有关规定代表基金独立行使股东或债权人权利，保护基金份额持有人的利益；</w:t>
      </w:r>
    </w:p>
    <w:p w14:paraId="39D6443C"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2、不谋求对上市公司的控股；</w:t>
      </w:r>
    </w:p>
    <w:p w14:paraId="6C04850A"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有利于基金财产的安全与增值；</w:t>
      </w:r>
    </w:p>
    <w:p w14:paraId="0470C945" w14:textId="77777777" w:rsidR="006D7D7F" w:rsidRDefault="008841B6" w:rsidP="00831DCF">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r>
        <w:rPr>
          <w:rFonts w:ascii="宋体" w:hAnsi="宋体" w:cs="宋体"/>
          <w:kern w:val="0"/>
          <w:sz w:val="24"/>
          <w:szCs w:val="24"/>
        </w:rPr>
        <w:br w:type="page"/>
      </w:r>
    </w:p>
    <w:p w14:paraId="75E6209F" w14:textId="77777777" w:rsidR="006D7D7F" w:rsidRDefault="008841B6">
      <w:pPr>
        <w:pStyle w:val="1"/>
        <w:spacing w:before="0" w:after="0"/>
        <w:jc w:val="center"/>
        <w:rPr>
          <w:rFonts w:ascii="Times New Roman"/>
          <w:color w:val="auto"/>
          <w:sz w:val="30"/>
        </w:rPr>
      </w:pPr>
      <w:bookmarkStart w:id="54" w:name="_Toc256000014"/>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基金的财产</w:t>
      </w:r>
      <w:bookmarkEnd w:id="54"/>
    </w:p>
    <w:p w14:paraId="187E7BAF" w14:textId="77777777" w:rsidR="006D7D7F" w:rsidRDefault="006D7D7F"/>
    <w:p w14:paraId="475BAF3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一、基金资产总值</w:t>
      </w:r>
    </w:p>
    <w:p w14:paraId="235E4F4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基金资产总值是指购买的各类有价证券及票据价值、银行存款本息和基金应收的申购基金款以及其他投资所形成的价值总和。</w:t>
      </w:r>
    </w:p>
    <w:p w14:paraId="7414901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二、基金资产净值</w:t>
      </w:r>
    </w:p>
    <w:p w14:paraId="53E8A3C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基金资产净值是指基金资产总值减去基金负债后的价值。</w:t>
      </w:r>
    </w:p>
    <w:p w14:paraId="1EDF4EC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三、基金财产的账户</w:t>
      </w:r>
    </w:p>
    <w:p w14:paraId="77DDE11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1610FD0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四、基金财产的保管和处分</w:t>
      </w:r>
    </w:p>
    <w:p w14:paraId="24C8E9D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和《基金合同》的规定处分外，基金财产不得被处分。</w:t>
      </w:r>
    </w:p>
    <w:p w14:paraId="4AC08CB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cs="宋体"/>
          <w:kern w:val="0"/>
          <w:sz w:val="24"/>
          <w:szCs w:val="24"/>
        </w:rPr>
        <w:t>抵销</w:t>
      </w:r>
      <w:proofErr w:type="gramEnd"/>
      <w:r>
        <w:rPr>
          <w:rFonts w:ascii="宋体" w:hAnsi="宋体" w:cs="宋体"/>
          <w:kern w:val="0"/>
          <w:sz w:val="24"/>
          <w:szCs w:val="24"/>
        </w:rPr>
        <w:t>；基金管理人管理运作不同基金的基金财产所产生的债权债务不得相互</w:t>
      </w:r>
      <w:proofErr w:type="gramStart"/>
      <w:r>
        <w:rPr>
          <w:rFonts w:ascii="宋体" w:hAnsi="宋体" w:cs="宋体"/>
          <w:kern w:val="0"/>
          <w:sz w:val="24"/>
          <w:szCs w:val="24"/>
        </w:rPr>
        <w:t>抵销</w:t>
      </w:r>
      <w:proofErr w:type="gramEnd"/>
      <w:r>
        <w:rPr>
          <w:rFonts w:ascii="宋体" w:hAnsi="宋体" w:cs="宋体"/>
          <w:kern w:val="0"/>
          <w:sz w:val="24"/>
          <w:szCs w:val="24"/>
        </w:rPr>
        <w:t>。非因基金财产本身承担的债务，不得对基金财产强制执行。</w:t>
      </w:r>
      <w:r>
        <w:rPr>
          <w:rFonts w:ascii="宋体" w:hAnsi="宋体" w:cs="宋体"/>
          <w:kern w:val="0"/>
          <w:sz w:val="24"/>
          <w:szCs w:val="24"/>
        </w:rPr>
        <w:br w:type="page"/>
      </w:r>
    </w:p>
    <w:p w14:paraId="57E3229E" w14:textId="77777777" w:rsidR="006D7D7F" w:rsidRDefault="008841B6">
      <w:pPr>
        <w:pStyle w:val="1"/>
        <w:spacing w:before="0" w:after="0"/>
        <w:jc w:val="center"/>
        <w:rPr>
          <w:rFonts w:ascii="Times New Roman"/>
          <w:color w:val="auto"/>
          <w:sz w:val="30"/>
        </w:rPr>
      </w:pPr>
      <w:bookmarkStart w:id="55" w:name="_Toc25600001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基金资产估值</w:t>
      </w:r>
      <w:bookmarkEnd w:id="55"/>
    </w:p>
    <w:p w14:paraId="3FB3F4F2" w14:textId="77777777" w:rsidR="006D7D7F" w:rsidRDefault="006D7D7F"/>
    <w:p w14:paraId="75C8B0D1"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估值日</w:t>
      </w:r>
    </w:p>
    <w:p w14:paraId="2F34380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w:t>
      </w:r>
      <w:proofErr w:type="gramStart"/>
      <w:r>
        <w:rPr>
          <w:rFonts w:ascii="宋体" w:hAnsi="宋体" w:cs="宋体"/>
          <w:kern w:val="0"/>
          <w:sz w:val="24"/>
          <w:szCs w:val="24"/>
        </w:rPr>
        <w:t>非交易</w:t>
      </w:r>
      <w:proofErr w:type="gramEnd"/>
      <w:r>
        <w:rPr>
          <w:rFonts w:ascii="宋体" w:hAnsi="宋体" w:cs="宋体"/>
          <w:kern w:val="0"/>
          <w:sz w:val="24"/>
          <w:szCs w:val="24"/>
        </w:rPr>
        <w:t>日。</w:t>
      </w:r>
    </w:p>
    <w:p w14:paraId="0155AF20"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估值对象</w:t>
      </w:r>
    </w:p>
    <w:p w14:paraId="4F2BFE8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基金所拥有的</w:t>
      </w:r>
      <w:r>
        <w:rPr>
          <w:rStyle w:val="custom"/>
          <w:rFonts w:ascii="宋体" w:hAnsi="宋体" w:cs="宋体"/>
          <w:kern w:val="0"/>
          <w:sz w:val="24"/>
          <w:szCs w:val="24"/>
        </w:rPr>
        <w:t>股票、</w:t>
      </w:r>
      <w:r>
        <w:rPr>
          <w:rFonts w:ascii="宋体" w:hAnsi="宋体" w:cs="宋体"/>
          <w:kern w:val="0"/>
          <w:sz w:val="24"/>
          <w:szCs w:val="24"/>
        </w:rPr>
        <w:t>债券</w:t>
      </w:r>
      <w:r>
        <w:rPr>
          <w:rStyle w:val="custom"/>
          <w:rFonts w:ascii="宋体" w:hAnsi="宋体" w:cs="宋体"/>
          <w:kern w:val="0"/>
          <w:sz w:val="24"/>
          <w:szCs w:val="24"/>
        </w:rPr>
        <w:t>、股指期货合约、国债期货合约、股票期权合约、资产支持证券</w:t>
      </w:r>
      <w:r>
        <w:rPr>
          <w:rFonts w:ascii="宋体" w:hAnsi="宋体" w:cs="宋体"/>
          <w:kern w:val="0"/>
          <w:sz w:val="24"/>
          <w:szCs w:val="24"/>
        </w:rPr>
        <w:t>和银行存款本息、应收款项、其它投资等资产及负债。</w:t>
      </w:r>
    </w:p>
    <w:p w14:paraId="65D102D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估值原则</w:t>
      </w:r>
    </w:p>
    <w:p w14:paraId="1E680B4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1885ED6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4F141E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679878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F50BBE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14:paraId="67465F4B"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四、</w:t>
      </w:r>
      <w:r>
        <w:rPr>
          <w:rFonts w:ascii="宋体" w:hAnsi="宋体" w:cs="宋体"/>
          <w:kern w:val="0"/>
          <w:sz w:val="24"/>
          <w:szCs w:val="24"/>
        </w:rPr>
        <w:t>估值方法</w:t>
      </w:r>
    </w:p>
    <w:p w14:paraId="11C2A52D" w14:textId="77777777" w:rsidR="006D7D7F" w:rsidRDefault="008841B6">
      <w:pPr>
        <w:pStyle w:val="div"/>
        <w:spacing w:line="360" w:lineRule="auto"/>
        <w:ind w:firstLine="480"/>
        <w:rPr>
          <w:rStyle w:val="custom"/>
          <w:rFonts w:ascii="宋体" w:hAnsi="宋体" w:cs="宋体"/>
          <w:kern w:val="0"/>
          <w:sz w:val="24"/>
          <w:szCs w:val="24"/>
        </w:rPr>
      </w:pPr>
      <w:r>
        <w:rPr>
          <w:rStyle w:val="serial-tag"/>
          <w:rFonts w:ascii="宋体" w:hAnsi="宋体" w:cs="宋体"/>
          <w:kern w:val="0"/>
          <w:sz w:val="24"/>
          <w:szCs w:val="24"/>
        </w:rPr>
        <w:t>1、</w:t>
      </w:r>
      <w:r>
        <w:rPr>
          <w:rStyle w:val="custom"/>
          <w:rFonts w:ascii="宋体" w:hAnsi="宋体" w:cs="宋体"/>
          <w:kern w:val="0"/>
          <w:sz w:val="24"/>
          <w:szCs w:val="24"/>
        </w:rPr>
        <w:t>证券交易所上市的有价证券的估值</w:t>
      </w:r>
    </w:p>
    <w:p w14:paraId="73477C8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880FDF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（2）交易所上市不存在活跃市场的有价证券，采用估值技术确定公允价值。</w:t>
      </w:r>
    </w:p>
    <w:p w14:paraId="279BCC1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2、处于未上市期间的有价证券应区分如下情况处理：</w:t>
      </w:r>
    </w:p>
    <w:p w14:paraId="1EF2572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5205DB6A"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（2）首次公开发行未上市的股票，采用估值技术确定公允价值；</w:t>
      </w:r>
    </w:p>
    <w:p w14:paraId="45BF5B7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等流通受限股票，按监管机构或行业协会有关规定确定公允价值。</w:t>
      </w:r>
    </w:p>
    <w:p w14:paraId="59246B33"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以公允价值计量的固定收益品种</w:t>
      </w:r>
    </w:p>
    <w:p w14:paraId="6531593E"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收益品种，选取第三方估值基准服务机构提供的相应品种当日的估值全价；</w:t>
      </w:r>
    </w:p>
    <w:p w14:paraId="313997EF"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对于已上市或已挂牌转让的含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收益品种，选取第三方估值基准服务机构提供的相应品种当日的唯一估值全价或推荐估值全价；</w:t>
      </w:r>
    </w:p>
    <w:p w14:paraId="098681B2"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82A434A"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（4）对于在交易所市场上市交易的公开发行的可转换债券等有活跃市场的含转股权的债券，实行全价交易的债券选取估值日收盘价作为估值全价；实行净</w:t>
      </w:r>
      <w:r>
        <w:rPr>
          <w:rStyle w:val="custom"/>
          <w:rFonts w:ascii="宋体" w:hAnsi="宋体" w:cs="宋体"/>
          <w:kern w:val="0"/>
          <w:sz w:val="24"/>
          <w:szCs w:val="24"/>
        </w:rPr>
        <w:lastRenderedPageBreak/>
        <w:t>价交易的债券选取估值日收盘价并加计每百元税前应计利息作为估值全价；</w:t>
      </w:r>
    </w:p>
    <w:p w14:paraId="58641525"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128C0D2D"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同一证券同时在两个或两个以上市场交易的，按证券所处的市场分别估值。</w:t>
      </w:r>
    </w:p>
    <w:p w14:paraId="21E23DEF"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F6EB158"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54966DA9" w14:textId="77777777" w:rsidR="006D7D7F" w:rsidRDefault="008841B6">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7、</w:t>
      </w:r>
      <w:r>
        <w:rPr>
          <w:rStyle w:val="custom"/>
          <w:rFonts w:ascii="宋体" w:hAnsi="宋体" w:cs="宋体"/>
          <w:kern w:val="0"/>
          <w:sz w:val="24"/>
          <w:szCs w:val="24"/>
        </w:rPr>
        <w:t>本基金投资股票期权合约，</w:t>
      </w:r>
      <w:r w:rsidR="00A476F3" w:rsidRPr="00A476F3">
        <w:rPr>
          <w:rStyle w:val="custom"/>
          <w:rFonts w:ascii="宋体" w:hAnsi="宋体" w:cs="宋体" w:hint="eastAsia"/>
          <w:kern w:val="0"/>
          <w:sz w:val="24"/>
          <w:szCs w:val="24"/>
        </w:rPr>
        <w:t>按照法律法规、监管机构、行业协会等规定的估值方法进行估值</w:t>
      </w:r>
      <w:r>
        <w:rPr>
          <w:rStyle w:val="custom"/>
          <w:rFonts w:ascii="宋体" w:hAnsi="宋体" w:cs="宋体"/>
          <w:kern w:val="0"/>
          <w:sz w:val="24"/>
          <w:szCs w:val="24"/>
        </w:rPr>
        <w:t>。</w:t>
      </w:r>
    </w:p>
    <w:p w14:paraId="29F9CD6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8、本基金投资国债期货合约，一般以国债期货估值日的结算价</w:t>
      </w:r>
      <w:r w:rsidR="00B40239">
        <w:rPr>
          <w:rStyle w:val="custom"/>
          <w:rFonts w:ascii="宋体" w:hAnsi="宋体" w:cs="宋体"/>
          <w:kern w:val="0"/>
          <w:sz w:val="24"/>
          <w:szCs w:val="24"/>
        </w:rPr>
        <w:t>进行</w:t>
      </w:r>
      <w:r>
        <w:rPr>
          <w:rStyle w:val="custom"/>
          <w:rFonts w:ascii="宋体" w:hAnsi="宋体" w:cs="宋体"/>
          <w:kern w:val="0"/>
          <w:sz w:val="24"/>
          <w:szCs w:val="24"/>
        </w:rPr>
        <w:t>估值，估值当日无结算价的，且最近交易日后经济环境未发生重大变化的，采用最近交易日结算价估值。</w:t>
      </w:r>
    </w:p>
    <w:p w14:paraId="6F4AB10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9、本基金投资存托凭证的估值核算，依照境内上市交易的股票进行。</w:t>
      </w:r>
    </w:p>
    <w:p w14:paraId="1F77337D"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10、本基金参与融资和转融通证券出借业务的，按照相关法律法规和行业协会的相关规定进行估值。</w:t>
      </w:r>
    </w:p>
    <w:p w14:paraId="3AFF0E50" w14:textId="77777777" w:rsidR="006454A2" w:rsidRPr="00A151F9" w:rsidRDefault="008841B6" w:rsidP="00A151F9">
      <w:pPr>
        <w:pStyle w:val="div"/>
        <w:spacing w:line="360" w:lineRule="auto"/>
        <w:ind w:firstLine="480"/>
        <w:rPr>
          <w:rFonts w:asciiTheme="minorEastAsia" w:eastAsiaTheme="minorEastAsia" w:hAnsiTheme="minorEastAsia" w:cs="Arial"/>
          <w:sz w:val="24"/>
          <w:szCs w:val="24"/>
          <w:lang w:val="x-none"/>
        </w:rPr>
      </w:pPr>
      <w:r w:rsidRPr="00A151F9">
        <w:rPr>
          <w:rStyle w:val="serial-tag"/>
          <w:rFonts w:asciiTheme="minorEastAsia" w:eastAsiaTheme="minorEastAsia" w:hAnsiTheme="minorEastAsia" w:cs="宋体"/>
          <w:kern w:val="0"/>
          <w:sz w:val="24"/>
          <w:szCs w:val="24"/>
        </w:rPr>
        <w:t>11、</w:t>
      </w:r>
      <w:r w:rsidRPr="00A151F9">
        <w:rPr>
          <w:rFonts w:asciiTheme="minorEastAsia" w:eastAsiaTheme="minorEastAsia" w:hAnsiTheme="minorEastAsia" w:cs="Arial" w:hint="eastAsia"/>
          <w:sz w:val="24"/>
          <w:szCs w:val="24"/>
        </w:rPr>
        <w:t>本基金可以采用第三方估值机构按照上述公允价值确定原则提供的估值价格数据。</w:t>
      </w:r>
    </w:p>
    <w:p w14:paraId="65D4ECF9" w14:textId="6B0FB340" w:rsidR="006D7D7F" w:rsidRPr="006454A2" w:rsidRDefault="008841B6" w:rsidP="00A151F9">
      <w:pPr>
        <w:pStyle w:val="div"/>
        <w:spacing w:line="360" w:lineRule="auto"/>
        <w:ind w:firstLine="480"/>
        <w:rPr>
          <w:rFonts w:ascii="宋体" w:hAnsi="宋体" w:cs="宋体"/>
          <w:kern w:val="0"/>
          <w:sz w:val="24"/>
          <w:szCs w:val="24"/>
        </w:rPr>
      </w:pPr>
      <w:r>
        <w:rPr>
          <w:rStyle w:val="serial-tag"/>
          <w:rFonts w:ascii="宋体" w:hAnsi="宋体" w:cs="宋体"/>
          <w:kern w:val="0"/>
          <w:sz w:val="24"/>
          <w:szCs w:val="24"/>
        </w:rPr>
        <w:t>1</w:t>
      </w:r>
      <w:r w:rsidR="006454A2">
        <w:rPr>
          <w:rStyle w:val="serial-tag"/>
          <w:rFonts w:ascii="宋体" w:hAnsi="宋体" w:cs="宋体"/>
          <w:kern w:val="0"/>
          <w:sz w:val="24"/>
          <w:szCs w:val="24"/>
        </w:rPr>
        <w:t>2</w:t>
      </w:r>
      <w:r>
        <w:rPr>
          <w:rStyle w:val="serial-tag"/>
          <w:rFonts w:ascii="宋体" w:hAnsi="宋体" w:cs="宋体"/>
          <w:kern w:val="0"/>
          <w:sz w:val="24"/>
          <w:szCs w:val="24"/>
        </w:rPr>
        <w:t>、</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14:paraId="34940B76" w14:textId="095F2ADF"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sidR="006454A2">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相关法律法规以及监管部门有强制规定的，从其规定。如有新增事项，按国家最新规定估值。</w:t>
      </w:r>
    </w:p>
    <w:p w14:paraId="2E88832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w:t>
      </w:r>
      <w:r>
        <w:rPr>
          <w:rFonts w:ascii="宋体" w:hAnsi="宋体" w:cs="宋体"/>
          <w:kern w:val="0"/>
          <w:sz w:val="24"/>
          <w:szCs w:val="24"/>
        </w:rPr>
        <w:lastRenderedPageBreak/>
        <w:t>序及相关法律法规的规定或者未能充分维护基金份额持有人利益时，应立即通知对方，共同查明原因，双方协商解决。</w:t>
      </w:r>
    </w:p>
    <w:p w14:paraId="461BA45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D7B7FA8"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估值程序</w:t>
      </w:r>
    </w:p>
    <w:p w14:paraId="75DD2DC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基金份额净值是按照每个估值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14:paraId="41319AF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基金管理人每个估值日计算基金资产净值及基金份额净值，并按规定公告。</w:t>
      </w:r>
    </w:p>
    <w:p w14:paraId="2712926E"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2、基金管理人</w:t>
      </w:r>
      <w:proofErr w:type="gramStart"/>
      <w:r>
        <w:rPr>
          <w:rStyle w:val="custom"/>
          <w:rFonts w:ascii="宋体" w:hAnsi="宋体" w:cs="宋体"/>
          <w:kern w:val="0"/>
          <w:sz w:val="24"/>
          <w:szCs w:val="24"/>
        </w:rPr>
        <w:t>应每个</w:t>
      </w:r>
      <w:proofErr w:type="gramEnd"/>
      <w:r>
        <w:rPr>
          <w:rStyle w:val="custom"/>
          <w:rFonts w:ascii="宋体" w:hAnsi="宋体" w:cs="宋体"/>
          <w:kern w:val="0"/>
          <w:sz w:val="24"/>
          <w:szCs w:val="24"/>
        </w:rPr>
        <w:t>估值日对基金资产估值。但基金管理人根据法律法规或本基金合同的规定暂停估值时除外。基金管理人每个估值日对基金资产估值后，将基金份额净值结果发送基金托管人，经基金托管人复核无误后，由基金管理人按约定对外公布。</w:t>
      </w:r>
    </w:p>
    <w:p w14:paraId="0E884F3F"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估值错误的处理</w:t>
      </w:r>
    </w:p>
    <w:p w14:paraId="1E54C9B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基金管理人和基金托管人将采取必要、适当、合理的措施确保基金资产估值的准确性、及时性。当基金份额净值小数点后4位以内(含第4位)发生估值错误时，视为基金份额净值错误。</w:t>
      </w:r>
    </w:p>
    <w:p w14:paraId="35CBB3F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本基金合同的当事人应按照以下约定处理：</w:t>
      </w:r>
    </w:p>
    <w:p w14:paraId="62C505C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1、估值错误类型</w:t>
      </w:r>
    </w:p>
    <w:p w14:paraId="3B7C138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2056F7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4592112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2、估值错误处理原则</w:t>
      </w:r>
    </w:p>
    <w:p w14:paraId="0FA8043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lastRenderedPageBreak/>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BB69B0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67664EB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w:t>
      </w:r>
      <w:proofErr w:type="gramStart"/>
      <w:r>
        <w:rPr>
          <w:rFonts w:ascii="宋体" w:hAnsi="宋体" w:cs="宋体"/>
          <w:kern w:val="0"/>
          <w:sz w:val="24"/>
          <w:szCs w:val="24"/>
        </w:rPr>
        <w:t>不</w:t>
      </w:r>
      <w:proofErr w:type="gramEnd"/>
      <w:r>
        <w:rPr>
          <w:rFonts w:ascii="宋体" w:hAnsi="宋体" w:cs="宋体"/>
          <w:kern w:val="0"/>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AE6568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（4）估值错误调整采用尽量恢复至假设未发生估值错误的正确情形的方式。</w:t>
      </w:r>
    </w:p>
    <w:p w14:paraId="51939FD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3、估值错误处理程序</w:t>
      </w:r>
    </w:p>
    <w:p w14:paraId="2768BB0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14:paraId="77DCAC6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67CFAF1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14:paraId="257D930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（3）根据估值错误处理原则或当事人协商的方法由估值错误的责任方进行更正和赔偿损失；</w:t>
      </w:r>
    </w:p>
    <w:p w14:paraId="5D7E1C7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4A166EB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4、基金份额净值估值错误处理的方法如下：</w:t>
      </w:r>
    </w:p>
    <w:p w14:paraId="59A28E3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（1）基金份额净值计算出现错误时，基金管理人应当立即予以纠正，通报</w:t>
      </w:r>
      <w:r>
        <w:rPr>
          <w:rFonts w:ascii="宋体" w:hAnsi="宋体" w:cs="宋体"/>
          <w:kern w:val="0"/>
          <w:sz w:val="24"/>
          <w:szCs w:val="24"/>
        </w:rPr>
        <w:lastRenderedPageBreak/>
        <w:t>基金托管人，并采取合理的措施防止损失进一步扩大。</w:t>
      </w:r>
    </w:p>
    <w:p w14:paraId="4C36BA1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（2）错误偏差达到基金份额净值的0.25%时，基金管理人应当通报基金托管人并报中国证监会备案；错误偏差达到基金份额净值的0.5%时，基金管理人应当公告，并报中国证监会备案。</w:t>
      </w:r>
    </w:p>
    <w:p w14:paraId="6A8E8DC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（3）前述内容如法律法规或监管机构另有规定的，从其规定处理。如果行业另有通行做法，基金管理人和基金托管人应本着平等和保护基金份额持有人利益的原则进行协商。</w:t>
      </w:r>
    </w:p>
    <w:p w14:paraId="79E0E6D2"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暂停估值的情形</w:t>
      </w:r>
    </w:p>
    <w:p w14:paraId="440411F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1、基金投资所涉及的证券/期货交易市场遇法定节假日或因其他原因暂停营业时；</w:t>
      </w:r>
    </w:p>
    <w:p w14:paraId="6B31ADA8"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6BDFF513"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当前一估值日基金资产净值50%以上的资产出现无可参考的活跃市场价格且采用估值技术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公允价值存在重大不确定性时，经与基金托管人协商确认后，基金管理人应当暂停估值；</w:t>
      </w:r>
    </w:p>
    <w:p w14:paraId="09C9BB3D"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法律法规规定、中国证监会和基金合同认定的其它情形。</w:t>
      </w:r>
    </w:p>
    <w:p w14:paraId="1B20C4D7"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基金净值的确认</w:t>
      </w:r>
    </w:p>
    <w:p w14:paraId="532C2FFD"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用于基金信息披露的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信息按约定予以公布。</w:t>
      </w:r>
    </w:p>
    <w:p w14:paraId="6139EC7A"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特殊情形的处理</w:t>
      </w:r>
    </w:p>
    <w:p w14:paraId="0631EFEC"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1、基金管理人、基金托管人按本部分有关估值方法约定的第</w:t>
      </w:r>
      <w:r w:rsidR="00140152">
        <w:rPr>
          <w:rStyle w:val="custom"/>
          <w:rFonts w:ascii="宋体" w:hAnsi="宋体" w:cs="宋体"/>
          <w:kern w:val="0"/>
          <w:sz w:val="24"/>
          <w:szCs w:val="24"/>
        </w:rPr>
        <w:t>12</w:t>
      </w:r>
      <w:r>
        <w:rPr>
          <w:rStyle w:val="custom"/>
          <w:rFonts w:ascii="宋体" w:hAnsi="宋体" w:cs="宋体"/>
          <w:kern w:val="0"/>
          <w:sz w:val="24"/>
          <w:szCs w:val="24"/>
        </w:rPr>
        <w:t>项进行估值时，所造成的误差不作为基金资产估值错误处理。</w:t>
      </w:r>
    </w:p>
    <w:p w14:paraId="44CDDDEB" w14:textId="77777777" w:rsidR="006D7D7F" w:rsidRDefault="008841B6" w:rsidP="00A476F3">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2、由于证券/期货交易所、指数编制机构及登记结算公司等第三方机构发送的数据错误，</w:t>
      </w:r>
      <w:r w:rsidR="00C45D9F" w:rsidRPr="00C45D9F">
        <w:rPr>
          <w:rStyle w:val="custom"/>
          <w:rFonts w:ascii="宋体" w:hAnsi="宋体" w:cs="宋体" w:hint="eastAsia"/>
          <w:kern w:val="0"/>
          <w:sz w:val="24"/>
          <w:szCs w:val="24"/>
        </w:rPr>
        <w:t>有关会计制度变化</w:t>
      </w:r>
      <w:r>
        <w:rPr>
          <w:rStyle w:val="custom"/>
          <w:rFonts w:ascii="宋体" w:hAnsi="宋体" w:cs="宋体"/>
          <w:kern w:val="0"/>
          <w:sz w:val="24"/>
          <w:szCs w:val="24"/>
        </w:rPr>
        <w:t>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Style w:val="custom"/>
          <w:rFonts w:ascii="宋体" w:hAnsi="宋体" w:cs="宋体"/>
          <w:kern w:val="0"/>
          <w:sz w:val="24"/>
          <w:szCs w:val="24"/>
        </w:rPr>
        <w:br w:type="page"/>
      </w:r>
    </w:p>
    <w:p w14:paraId="28C74827" w14:textId="77777777" w:rsidR="006D7D7F" w:rsidRDefault="008841B6">
      <w:pPr>
        <w:pStyle w:val="1"/>
        <w:spacing w:before="0" w:after="0"/>
        <w:jc w:val="center"/>
        <w:rPr>
          <w:rFonts w:ascii="Times New Roman"/>
          <w:color w:val="auto"/>
          <w:sz w:val="30"/>
        </w:rPr>
      </w:pPr>
      <w:bookmarkStart w:id="56" w:name="_Toc25600001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基金费用与税收</w:t>
      </w:r>
      <w:bookmarkEnd w:id="56"/>
    </w:p>
    <w:p w14:paraId="0027DA76" w14:textId="77777777" w:rsidR="006D7D7F" w:rsidRDefault="006D7D7F"/>
    <w:p w14:paraId="13F48FA0"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一、基金费用的种类</w:t>
      </w:r>
    </w:p>
    <w:p w14:paraId="2836ADCB"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54B5FD39"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2、基金托管人的托管费；</w:t>
      </w:r>
    </w:p>
    <w:p w14:paraId="64C053C3"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《基金合同》生效后与基金相关的信息披露费用（但法律法规、中国证监会另有规定的除外）；</w:t>
      </w:r>
    </w:p>
    <w:p w14:paraId="415A5ACC"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《基金合同》生效后与基金相关的会计师费、律师费、仲裁费和诉讼费；</w:t>
      </w:r>
    </w:p>
    <w:p w14:paraId="425A20B9"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基金份额持有人大会费用；</w:t>
      </w:r>
    </w:p>
    <w:p w14:paraId="16A6202B"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6、基金的证券/期货</w:t>
      </w:r>
      <w:r>
        <w:rPr>
          <w:rStyle w:val="custom"/>
          <w:rFonts w:ascii="宋体" w:hAnsi="宋体" w:cs="宋体" w:hint="eastAsia"/>
          <w:kern w:val="0"/>
          <w:sz w:val="24"/>
          <w:szCs w:val="24"/>
        </w:rPr>
        <w:t>/期权</w:t>
      </w:r>
      <w:r>
        <w:rPr>
          <w:rStyle w:val="custom"/>
          <w:rFonts w:ascii="宋体" w:hAnsi="宋体" w:cs="宋体"/>
          <w:kern w:val="0"/>
          <w:sz w:val="24"/>
          <w:szCs w:val="24"/>
        </w:rPr>
        <w:t>等交易费用；</w:t>
      </w:r>
    </w:p>
    <w:p w14:paraId="7E2CC59E"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7、基金的银行汇划费用；</w:t>
      </w:r>
    </w:p>
    <w:p w14:paraId="16A640DA"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8、</w:t>
      </w:r>
      <w:r>
        <w:rPr>
          <w:rFonts w:ascii="宋体" w:hAnsi="宋体" w:cs="宋体"/>
          <w:kern w:val="0"/>
          <w:sz w:val="24"/>
          <w:szCs w:val="24"/>
        </w:rPr>
        <w:t>基金的账户开户费用、账户维护费用；</w:t>
      </w:r>
    </w:p>
    <w:p w14:paraId="0312A7D1"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9、</w:t>
      </w:r>
      <w:r>
        <w:rPr>
          <w:rFonts w:ascii="宋体" w:hAnsi="宋体" w:cs="宋体"/>
          <w:kern w:val="0"/>
          <w:sz w:val="24"/>
          <w:szCs w:val="24"/>
        </w:rPr>
        <w:t>基金的上市费；</w:t>
      </w:r>
    </w:p>
    <w:p w14:paraId="7DBCAE60" w14:textId="77777777" w:rsidR="006D7D7F" w:rsidRDefault="008841B6">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10、</w:t>
      </w:r>
      <w:r>
        <w:rPr>
          <w:rFonts w:ascii="宋体" w:hAnsi="宋体" w:cs="宋体"/>
          <w:kern w:val="0"/>
          <w:sz w:val="24"/>
          <w:szCs w:val="24"/>
        </w:rPr>
        <w:t>收益分配中发生的费用、</w:t>
      </w:r>
      <w:r w:rsidR="00907356">
        <w:rPr>
          <w:rFonts w:ascii="宋体" w:hAnsi="宋体" w:cs="宋体" w:hint="eastAsia"/>
          <w:kern w:val="0"/>
          <w:sz w:val="24"/>
          <w:szCs w:val="24"/>
        </w:rPr>
        <w:t>登记结算费用、</w:t>
      </w:r>
      <w:r>
        <w:rPr>
          <w:rFonts w:ascii="宋体" w:hAnsi="宋体" w:cs="宋体"/>
          <w:kern w:val="0"/>
          <w:sz w:val="24"/>
          <w:szCs w:val="24"/>
        </w:rPr>
        <w:t>IOPV计算与发布费用；</w:t>
      </w:r>
    </w:p>
    <w:p w14:paraId="4A7A9495" w14:textId="77777777" w:rsidR="006D7D7F" w:rsidRDefault="008841B6">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14:paraId="5BA304B3"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二、基金费用计提方法、计提标准和支付方式</w:t>
      </w:r>
    </w:p>
    <w:p w14:paraId="17F82870"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w:t>
      </w:r>
    </w:p>
    <w:p w14:paraId="2634094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本基金的管理费按前一日基金资产净值的</w:t>
      </w:r>
      <w:r>
        <w:rPr>
          <w:rStyle w:val="custom1"/>
          <w:rFonts w:ascii="宋体" w:hAnsi="宋体" w:cs="宋体"/>
          <w:kern w:val="0"/>
          <w:sz w:val="24"/>
          <w:szCs w:val="24"/>
        </w:rPr>
        <w:t>0.50</w:t>
      </w:r>
      <w:r>
        <w:rPr>
          <w:rStyle w:val="custom"/>
          <w:rFonts w:ascii="宋体" w:hAnsi="宋体" w:cs="宋体"/>
          <w:kern w:val="0"/>
          <w:sz w:val="24"/>
          <w:szCs w:val="24"/>
        </w:rPr>
        <w:t>%年费率计提。管理费的计算方法如下：</w:t>
      </w:r>
    </w:p>
    <w:p w14:paraId="35540823"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H＝E×0.50%÷当年天数</w:t>
      </w:r>
    </w:p>
    <w:p w14:paraId="73C8F46A"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H为每日应计提的基金管理费</w:t>
      </w:r>
    </w:p>
    <w:p w14:paraId="7F556E34"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E为前一日的基金资产净值</w:t>
      </w:r>
    </w:p>
    <w:p w14:paraId="0B71D015"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基金管理费每日计算，逐日累计至每月月末，按月支付，由基金托管人根据与基金管理人核对一致的财务数据，自动在次月初</w:t>
      </w:r>
      <w:r>
        <w:rPr>
          <w:rStyle w:val="custom"/>
          <w:rFonts w:eastAsia="Times New Roman"/>
          <w:kern w:val="0"/>
          <w:sz w:val="24"/>
          <w:szCs w:val="24"/>
        </w:rPr>
        <w:t>5</w:t>
      </w:r>
      <w:proofErr w:type="gramStart"/>
      <w:r>
        <w:rPr>
          <w:rStyle w:val="custom"/>
          <w:rFonts w:ascii="宋体" w:hAnsi="宋体" w:cs="宋体"/>
          <w:kern w:val="0"/>
          <w:sz w:val="24"/>
          <w:szCs w:val="24"/>
        </w:rPr>
        <w:t>个</w:t>
      </w:r>
      <w:proofErr w:type="gramEnd"/>
      <w:r>
        <w:rPr>
          <w:rStyle w:val="custom"/>
          <w:rFonts w:ascii="宋体" w:hAnsi="宋体" w:cs="宋体"/>
          <w:kern w:val="0"/>
          <w:sz w:val="24"/>
          <w:szCs w:val="24"/>
        </w:rPr>
        <w:t>工作日内按照指定的账户路径进行资金支付，基金管理人无需再出具资金划拨指令。</w:t>
      </w:r>
      <w:r w:rsidR="009C6E78" w:rsidRPr="009C6E78">
        <w:rPr>
          <w:rStyle w:val="custom"/>
          <w:rFonts w:ascii="宋体" w:hAnsi="宋体" w:cs="宋体" w:hint="eastAsia"/>
          <w:kern w:val="0"/>
          <w:sz w:val="24"/>
          <w:szCs w:val="24"/>
        </w:rPr>
        <w:t>若遇法定节假日、休息日等，支付日期顺延。</w:t>
      </w:r>
      <w:r>
        <w:rPr>
          <w:rStyle w:val="custom"/>
          <w:rFonts w:ascii="宋体" w:hAnsi="宋体" w:cs="宋体"/>
          <w:kern w:val="0"/>
          <w:sz w:val="24"/>
          <w:szCs w:val="24"/>
        </w:rPr>
        <w:t>费用自动扣划后，基金管理人应进行核对，如发现数据不符，及时联系基金托管人协商解决。</w:t>
      </w:r>
    </w:p>
    <w:p w14:paraId="28486D9A"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2、基金托管人的托管费</w:t>
      </w:r>
    </w:p>
    <w:p w14:paraId="7DA17AB8"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本基金的托管费按前一日基金资产净值的</w:t>
      </w:r>
      <w:r>
        <w:rPr>
          <w:rStyle w:val="custom"/>
          <w:rFonts w:ascii="宋体" w:hAnsi="宋体" w:cs="宋体"/>
          <w:kern w:val="0"/>
          <w:sz w:val="24"/>
          <w:szCs w:val="24"/>
        </w:rPr>
        <w:t>0.10</w:t>
      </w:r>
      <w:r>
        <w:rPr>
          <w:rFonts w:ascii="宋体" w:hAnsi="宋体" w:cs="宋体"/>
          <w:kern w:val="0"/>
          <w:sz w:val="24"/>
          <w:szCs w:val="24"/>
        </w:rPr>
        <w:t>%的年费率计提。托管费的计算方法如下：</w:t>
      </w:r>
    </w:p>
    <w:p w14:paraId="36EDD384"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H＝E×</w:t>
      </w:r>
      <w:r>
        <w:rPr>
          <w:rStyle w:val="custom1"/>
          <w:rFonts w:ascii="宋体" w:hAnsi="宋体" w:cs="宋体"/>
          <w:kern w:val="0"/>
          <w:sz w:val="24"/>
          <w:szCs w:val="24"/>
        </w:rPr>
        <w:t>0.10</w:t>
      </w:r>
      <w:r>
        <w:rPr>
          <w:rFonts w:ascii="宋体" w:hAnsi="宋体" w:cs="宋体"/>
          <w:kern w:val="0"/>
          <w:sz w:val="24"/>
          <w:szCs w:val="24"/>
        </w:rPr>
        <w:t>%÷当年天数</w:t>
      </w:r>
    </w:p>
    <w:p w14:paraId="5CD82D5E"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H为每日应计提的基金托管费</w:t>
      </w:r>
    </w:p>
    <w:p w14:paraId="6C5154C0"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072D2F48"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基金托管费每日计算，逐日累计至每月月末，按月支付，由基金托管人根据与基金管理人核对一致的财务数据，自动在次月初</w:t>
      </w:r>
      <w:r>
        <w:rPr>
          <w:rStyle w:val="custom"/>
          <w:rFonts w:eastAsia="Times New Roman"/>
          <w:kern w:val="0"/>
          <w:sz w:val="24"/>
          <w:szCs w:val="24"/>
        </w:rPr>
        <w:t>5</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w:t>
      </w:r>
      <w:r w:rsidR="009C6E78" w:rsidRPr="009C6E78">
        <w:rPr>
          <w:rFonts w:ascii="宋体" w:hAnsi="宋体" w:cs="宋体" w:hint="eastAsia"/>
          <w:kern w:val="0"/>
          <w:sz w:val="24"/>
          <w:szCs w:val="24"/>
        </w:rPr>
        <w:t>若遇法定节假日、休息日等，支付日期顺延。</w:t>
      </w:r>
      <w:r>
        <w:rPr>
          <w:rFonts w:ascii="宋体" w:hAnsi="宋体" w:cs="宋体"/>
          <w:kern w:val="0"/>
          <w:sz w:val="24"/>
          <w:szCs w:val="24"/>
        </w:rPr>
        <w:t>费用自动扣划后，基金管理人应进行核对，如发现数据不符，及时联系基金托管人协商解决。</w:t>
      </w:r>
    </w:p>
    <w:p w14:paraId="6B7B956D"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上述“一、基金费用的种类”中第</w:t>
      </w:r>
      <w:r>
        <w:rPr>
          <w:rStyle w:val="custom"/>
          <w:rFonts w:ascii="宋体" w:hAnsi="宋体" w:cs="宋体"/>
          <w:kern w:val="0"/>
          <w:sz w:val="24"/>
          <w:szCs w:val="24"/>
        </w:rPr>
        <w:t>3</w:t>
      </w:r>
      <w:r>
        <w:rPr>
          <w:rFonts w:ascii="宋体" w:hAnsi="宋体" w:cs="宋体"/>
          <w:kern w:val="0"/>
          <w:sz w:val="24"/>
          <w:szCs w:val="24"/>
        </w:rPr>
        <w:t>－</w:t>
      </w:r>
      <w:r>
        <w:rPr>
          <w:rStyle w:val="custom1"/>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14:paraId="7F20603E"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三、不列入基金费用的项目</w:t>
      </w:r>
    </w:p>
    <w:p w14:paraId="18192F39"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下列费用不列入基金费用：</w:t>
      </w:r>
    </w:p>
    <w:p w14:paraId="19356B8F"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1、基金管理人和基金托管人因未履行或未完全履行义务导致的费用支出或基金财产的损失；</w:t>
      </w:r>
    </w:p>
    <w:p w14:paraId="316C1C39"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2、基金管理人和基金托管人处理与基金运作无关的事项发生的费用；</w:t>
      </w:r>
    </w:p>
    <w:p w14:paraId="1B83974B"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3、《基金合同》生效前的相关费用；</w:t>
      </w:r>
    </w:p>
    <w:p w14:paraId="224FD0E5"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4、基金的指数许可使用费（该费用由基金管理人承担）；</w:t>
      </w:r>
    </w:p>
    <w:p w14:paraId="6B0DA0F4"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5、其他根据相关法律法规及中国证监会的有关规定不得列入基金费用的项目。</w:t>
      </w:r>
    </w:p>
    <w:p w14:paraId="04E4A096"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四、基金税收</w:t>
      </w:r>
    </w:p>
    <w:p w14:paraId="51F15C5A"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3370DBF0" w14:textId="77777777" w:rsidR="006D7D7F" w:rsidRDefault="008841B6">
      <w:pPr>
        <w:pStyle w:val="1"/>
        <w:spacing w:before="0" w:after="0"/>
        <w:jc w:val="center"/>
        <w:rPr>
          <w:rFonts w:ascii="Times New Roman"/>
          <w:color w:val="auto"/>
          <w:sz w:val="30"/>
        </w:rPr>
      </w:pPr>
      <w:bookmarkStart w:id="57" w:name="_Toc25600001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基金的收益与分配</w:t>
      </w:r>
      <w:bookmarkEnd w:id="57"/>
    </w:p>
    <w:p w14:paraId="0BB2479A" w14:textId="77777777" w:rsidR="006D7D7F" w:rsidRDefault="006D7D7F"/>
    <w:p w14:paraId="5171A860"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10554504"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324571A3"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2D25431F"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098CCBFD"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797A6693"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1、《基金合同》生效不满3个月可不进行收益分配；</w:t>
      </w:r>
    </w:p>
    <w:p w14:paraId="67BE020C"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2、本基金收益分配采用现金分红；</w:t>
      </w:r>
    </w:p>
    <w:p w14:paraId="7F616EE1"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3、每一基金份额享有同等分配权；</w:t>
      </w:r>
    </w:p>
    <w:p w14:paraId="57E7BCDA"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4、基金管理人可对基金相对标的指数的超额收益率和/或基金的可供分配利润进行评价，</w:t>
      </w:r>
      <w:proofErr w:type="gramStart"/>
      <w:r>
        <w:rPr>
          <w:rFonts w:ascii="宋体" w:hAnsi="宋体" w:cs="宋体"/>
          <w:kern w:val="0"/>
          <w:sz w:val="24"/>
          <w:szCs w:val="24"/>
        </w:rPr>
        <w:t>当收益评价日核定</w:t>
      </w:r>
      <w:proofErr w:type="gramEnd"/>
      <w:r>
        <w:rPr>
          <w:rFonts w:ascii="宋体" w:hAnsi="宋体" w:cs="宋体"/>
          <w:kern w:val="0"/>
          <w:sz w:val="24"/>
          <w:szCs w:val="24"/>
        </w:rPr>
        <w:t>的超额收益率或者基金可供分配利润金额大于零时，基金管理人可进行收益分配；</w:t>
      </w:r>
    </w:p>
    <w:p w14:paraId="7044CEA2"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5、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1AB81C15"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6、法律法规或监管机构另有规定的，从其规定。</w:t>
      </w:r>
    </w:p>
    <w:p w14:paraId="241A1597"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w:t>
      </w:r>
      <w:r w:rsidR="000B11F0">
        <w:rPr>
          <w:rFonts w:ascii="宋体" w:hAnsi="宋体" w:cs="宋体" w:hint="eastAsia"/>
          <w:kern w:val="0"/>
          <w:sz w:val="24"/>
          <w:szCs w:val="24"/>
        </w:rPr>
        <w:t>在与基金托管人协商一致后，经履行适当程序，</w:t>
      </w:r>
      <w:r>
        <w:rPr>
          <w:rFonts w:ascii="宋体" w:hAnsi="宋体" w:cs="宋体"/>
          <w:kern w:val="0"/>
          <w:sz w:val="24"/>
          <w:szCs w:val="24"/>
        </w:rPr>
        <w:t>可对基金收益分配原则进行调整。</w:t>
      </w:r>
    </w:p>
    <w:p w14:paraId="17BB1208"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7EAF7E04"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基金收益分配方案中应载明截至收益分配基准日的</w:t>
      </w:r>
      <w:r w:rsidR="004071F3">
        <w:rPr>
          <w:rFonts w:ascii="宋体" w:hAnsi="宋体" w:cs="宋体" w:hint="eastAsia"/>
          <w:kern w:val="0"/>
          <w:sz w:val="24"/>
          <w:szCs w:val="24"/>
        </w:rPr>
        <w:t>可供分配利润（如需）、</w:t>
      </w:r>
      <w:r>
        <w:rPr>
          <w:rFonts w:ascii="宋体" w:hAnsi="宋体" w:cs="宋体"/>
          <w:kern w:val="0"/>
          <w:sz w:val="24"/>
          <w:szCs w:val="24"/>
        </w:rPr>
        <w:t>基金收益分配对象、分配时间、分配数额及比例、分配方式等内容。</w:t>
      </w:r>
    </w:p>
    <w:p w14:paraId="2D8259BD"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7CB96BEB"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lastRenderedPageBreak/>
        <w:t>本基金收益分配方案由基金管理人拟定，并由基金托管人复核，在2日内在规定媒介公告。</w:t>
      </w:r>
    </w:p>
    <w:p w14:paraId="706E026A"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475F9A03" w14:textId="77777777" w:rsidR="006D7D7F" w:rsidRDefault="008841B6">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基金收益分配时所发生的银行转账或其他手续费用由投资者自行承担。</w:t>
      </w:r>
      <w:r>
        <w:rPr>
          <w:rFonts w:ascii="宋体" w:hAnsi="宋体" w:cs="宋体"/>
          <w:kern w:val="0"/>
          <w:sz w:val="24"/>
          <w:szCs w:val="24"/>
        </w:rPr>
        <w:br w:type="page"/>
      </w:r>
    </w:p>
    <w:p w14:paraId="39A44885" w14:textId="77777777" w:rsidR="006D7D7F" w:rsidRDefault="008841B6">
      <w:pPr>
        <w:pStyle w:val="1"/>
        <w:spacing w:before="0" w:after="0"/>
        <w:jc w:val="center"/>
        <w:rPr>
          <w:rFonts w:ascii="Times New Roman"/>
          <w:color w:val="auto"/>
          <w:sz w:val="30"/>
        </w:rPr>
      </w:pPr>
      <w:bookmarkStart w:id="58" w:name="_Toc256000018"/>
      <w:r>
        <w:rPr>
          <w:rFonts w:ascii="Times New Roman"/>
          <w:color w:val="auto"/>
          <w:sz w:val="30"/>
        </w:rPr>
        <w:lastRenderedPageBreak/>
        <w:t>第十九部分</w:t>
      </w:r>
      <w:r>
        <w:rPr>
          <w:rFonts w:ascii="Times New Roman"/>
          <w:color w:val="auto"/>
          <w:sz w:val="30"/>
        </w:rPr>
        <w:t xml:space="preserve">  </w:t>
      </w:r>
      <w:r>
        <w:rPr>
          <w:rFonts w:ascii="Times New Roman"/>
          <w:color w:val="auto"/>
          <w:sz w:val="30"/>
        </w:rPr>
        <w:t>基金的会计与审计</w:t>
      </w:r>
      <w:bookmarkEnd w:id="58"/>
    </w:p>
    <w:p w14:paraId="6E7EF194" w14:textId="77777777" w:rsidR="006D7D7F" w:rsidRDefault="006D7D7F"/>
    <w:p w14:paraId="17069DC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一、基金会计政策</w:t>
      </w:r>
    </w:p>
    <w:p w14:paraId="73DE804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1、基金管理人为本基金的基金会计责任方；</w:t>
      </w:r>
    </w:p>
    <w:p w14:paraId="39EC001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2、基金的会计年度为公历年度的1月1日至12月31日；基金首次募集的会计年度按如下原则：如果《基金合同》生效少于2个月，可以并入下一个会计年度披露；</w:t>
      </w:r>
    </w:p>
    <w:p w14:paraId="2DCCDD4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3、基金核算以人民币为记账本位币，以人民币元为记账单位；</w:t>
      </w:r>
    </w:p>
    <w:p w14:paraId="2750F17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4、会计制度执行国家有关会计制度；</w:t>
      </w:r>
    </w:p>
    <w:p w14:paraId="674C167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5、本基金独立建账、独立核算；</w:t>
      </w:r>
    </w:p>
    <w:p w14:paraId="6D06512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26635BE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14:paraId="4CC9323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二、基金的年度审计</w:t>
      </w:r>
    </w:p>
    <w:p w14:paraId="5D99240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5708008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2、会计师事务所更换经办注册会计师，应事先征得基金管理人同意。</w:t>
      </w:r>
    </w:p>
    <w:p w14:paraId="690908A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1A9E68DB" w14:textId="77777777" w:rsidR="006D7D7F" w:rsidRDefault="008841B6">
      <w:pPr>
        <w:pStyle w:val="1"/>
        <w:spacing w:before="0" w:after="0"/>
        <w:jc w:val="center"/>
        <w:rPr>
          <w:rFonts w:ascii="Times New Roman"/>
          <w:color w:val="auto"/>
          <w:sz w:val="30"/>
        </w:rPr>
      </w:pPr>
      <w:bookmarkStart w:id="59" w:name="_Toc25600001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基金的信息披露</w:t>
      </w:r>
      <w:bookmarkEnd w:id="59"/>
    </w:p>
    <w:p w14:paraId="4A296024" w14:textId="77777777" w:rsidR="006D7D7F" w:rsidRDefault="006D7D7F"/>
    <w:p w14:paraId="305A22F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一、本基金的信息披露应符合《基金法》、《运作办法》、《信息披露办法》、《流动性风险管理规定》、《基金合同》及其他有关规定。相关法律法规关于信息披露的规定发生变化时，本基金从其最新规定。</w:t>
      </w:r>
    </w:p>
    <w:p w14:paraId="0CFC281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二、信息披露义务人</w:t>
      </w:r>
    </w:p>
    <w:p w14:paraId="4099A87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61E1592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1D25877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43CB458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三、本基金信息披露义务人承诺公开披露的基金信息，不得有下列行为：</w:t>
      </w:r>
    </w:p>
    <w:p w14:paraId="6836858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1、虚假记载、误导性陈述或者重大遗漏；</w:t>
      </w:r>
    </w:p>
    <w:p w14:paraId="0EADB58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2、对证券投资业绩进行预测；</w:t>
      </w:r>
    </w:p>
    <w:p w14:paraId="3919F74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3、违规承诺收益或者承担损失；</w:t>
      </w:r>
    </w:p>
    <w:p w14:paraId="3431171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4、诋毁其他基金管理人、基金托管人或者基金销售机构；</w:t>
      </w:r>
    </w:p>
    <w:p w14:paraId="5A4FD08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5、登载任何自然人、法人和非法人组织的祝贺性、恭维性或推荐性的文字；</w:t>
      </w:r>
    </w:p>
    <w:p w14:paraId="4300B37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6、中国证监会禁止的其他行为。</w:t>
      </w:r>
    </w:p>
    <w:p w14:paraId="0CF110C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四、本基金公开披露的信息应采用中文文本。如同时采用外文文本的，基金信息披露义务人应保证不同文本的内容一致。不同文本之间发生歧义的，以中文文本为准。</w:t>
      </w:r>
    </w:p>
    <w:p w14:paraId="171D7F8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本基金公开披露的信息采用阿拉伯数字；除特别说明外，货币单位为人民币元。</w:t>
      </w:r>
    </w:p>
    <w:p w14:paraId="61B1503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lastRenderedPageBreak/>
        <w:t>五、公开披露的基金信息</w:t>
      </w:r>
    </w:p>
    <w:p w14:paraId="6A5EBAA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公开披露的基金信息包括：</w:t>
      </w:r>
    </w:p>
    <w:p w14:paraId="4F2B516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（一）基金招募说明书、《基金合同》、基金托管协议、基金产品资料概要</w:t>
      </w:r>
    </w:p>
    <w:p w14:paraId="4BDE300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1、《基金合同》是界定《基金合同》当事人的各项权利、义务关系，明确基金份额持有人大会召开的规则及具体程序，说明基金产品的特性等涉及基金投资者重大利益的事项的法律文件。</w:t>
      </w:r>
    </w:p>
    <w:p w14:paraId="25E69B4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ADF8E8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3、基金托管协议是界定基金托管人和基金管理人在基金财产保管及基金运作监督等活动中的权利、义务关系的法律文件。</w:t>
      </w:r>
    </w:p>
    <w:p w14:paraId="0D6B3FB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678EAB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47D112A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（二）基金份额发售公告</w:t>
      </w:r>
    </w:p>
    <w:p w14:paraId="3AC6200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基金管理人应当就基金份额发售的具体事宜编制基金份额发售公告，并在披露招募说明书的当日登载于规定媒介上。</w:t>
      </w:r>
    </w:p>
    <w:p w14:paraId="5DC8B58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lastRenderedPageBreak/>
        <w:t>（三）《基金合同》生效公告</w:t>
      </w:r>
    </w:p>
    <w:p w14:paraId="77E9640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基金管理人应当在收到中国证监会确认文件的次日在规定媒介上登载《基金合同》生效公告。</w:t>
      </w:r>
    </w:p>
    <w:p w14:paraId="4FAEFB7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（四）基金份额上市交易公告书</w:t>
      </w:r>
    </w:p>
    <w:p w14:paraId="06F0FFF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基金份额获准在证券交易所上市交易的，基金管理人应当在基金份额上市交易3个工作日前将基金份额上市交易公告书登载在规定网站上，并将上市交易公告书提示性公告登载在规定报刊上。</w:t>
      </w:r>
    </w:p>
    <w:p w14:paraId="6699298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（五）基金份额折算日和折算结果公告</w:t>
      </w:r>
    </w:p>
    <w:p w14:paraId="1CDB2F1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基金管理人确定基金份额折算日，并提前将基金份额折算日公告登载于规定媒介上。</w:t>
      </w:r>
    </w:p>
    <w:p w14:paraId="1FAA08F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基金份额进行折算并由登记机构完成基金份额的变更登记后，基金管理人应将基金份额折算结果公告登载于规定媒介上。</w:t>
      </w:r>
    </w:p>
    <w:p w14:paraId="592647B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（六）基金净值信息</w:t>
      </w:r>
    </w:p>
    <w:p w14:paraId="2C991CF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《基金合同》生效后，在开始办理基金份额申购或者赎回且上市交易前，基金管理人应当至少每周在规定网站披露一次基金份额净值和基金份额累计净值。</w:t>
      </w:r>
    </w:p>
    <w:p w14:paraId="08F98E32"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在开始办理基金份额申购或者赎回或基金上市交易后，基金管理人应当在不晚于每个开放日/交易日的次日，通过规定网站、基金销售机构网站或者营业网点披露开放日/交易日的基金份额净值和基金份额累计净值。</w:t>
      </w:r>
    </w:p>
    <w:p w14:paraId="68D0D2CD"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基金管理人应当在不晚于半年度和年度最后一日的次日，在规定网站披露半年度和年度最后一日的基金份额净值和基金份额累计净值。</w:t>
      </w:r>
    </w:p>
    <w:p w14:paraId="2E33FCF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（七）基金份额申购、赎回清单公告</w:t>
      </w:r>
    </w:p>
    <w:p w14:paraId="1B7D025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在开始办理基金份额申购或者赎回之后，基金管理人应当在每个开放日，通过其网站、申购赎回代理券商以及其他媒介公告当日的申购赎回清单。</w:t>
      </w:r>
    </w:p>
    <w:p w14:paraId="25CFF00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（八）基金定期报告，包括基金年度报告、基金中期报告和基金季度报告</w:t>
      </w:r>
    </w:p>
    <w:p w14:paraId="3537A19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323E28E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基金管理人应当在上半年结束之日起两个月内，编制完成基金中期报告，将</w:t>
      </w:r>
      <w:r>
        <w:rPr>
          <w:rFonts w:ascii="宋体" w:hAnsi="宋体" w:cs="宋体"/>
          <w:kern w:val="0"/>
          <w:sz w:val="24"/>
          <w:szCs w:val="24"/>
        </w:rPr>
        <w:lastRenderedPageBreak/>
        <w:t>中期报告登载在规定网站上，并将中期报告提示性公告登载在规定报刊上。</w:t>
      </w:r>
    </w:p>
    <w:p w14:paraId="15B39E4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26CBCF6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《基金合同》生效不足2个月的，基金管理人可以不编制当期季度报告、中期报告或者年度报告。</w:t>
      </w:r>
    </w:p>
    <w:p w14:paraId="73E0727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493329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1E08A71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（九）临时报告</w:t>
      </w:r>
    </w:p>
    <w:p w14:paraId="4CFF0E3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6FD0832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2D438991"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基金份额持有人大会的召开及决定的事项；</w:t>
      </w:r>
    </w:p>
    <w:p w14:paraId="13014DD4"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《基金合同》终止、基金清算；</w:t>
      </w:r>
    </w:p>
    <w:p w14:paraId="341382CD"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转换基金运作方式、基金合并；</w:t>
      </w:r>
    </w:p>
    <w:p w14:paraId="6B8DC292"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4、更换基金管理人、基金托管人、基金份额登记机构，基金改聘会计师事务所；</w:t>
      </w:r>
    </w:p>
    <w:p w14:paraId="386E3B8C"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14:paraId="77EF41E6"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6、基金管理人、基金托管人的法定名称、住所发生变更；</w:t>
      </w:r>
    </w:p>
    <w:p w14:paraId="30BFFECE"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14:paraId="509EEE31"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8、</w:t>
      </w:r>
      <w:r>
        <w:rPr>
          <w:rFonts w:ascii="宋体" w:hAnsi="宋体" w:cs="宋体"/>
          <w:kern w:val="0"/>
          <w:sz w:val="24"/>
          <w:szCs w:val="24"/>
        </w:rPr>
        <w:t>基金募集期延长或提前结束募集；</w:t>
      </w:r>
    </w:p>
    <w:p w14:paraId="7C24A0F8"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w:t>
      </w:r>
      <w:r>
        <w:rPr>
          <w:rFonts w:ascii="宋体" w:hAnsi="宋体" w:cs="宋体"/>
          <w:kern w:val="0"/>
          <w:sz w:val="24"/>
          <w:szCs w:val="24"/>
        </w:rPr>
        <w:lastRenderedPageBreak/>
        <w:t>负责人发生变动；</w:t>
      </w:r>
    </w:p>
    <w:p w14:paraId="24403BC3"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14:paraId="4F417072"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11、</w:t>
      </w:r>
      <w:r>
        <w:rPr>
          <w:rFonts w:ascii="宋体" w:hAnsi="宋体" w:cs="宋体"/>
          <w:kern w:val="0"/>
          <w:sz w:val="24"/>
          <w:szCs w:val="24"/>
        </w:rPr>
        <w:t>涉及基金财产、基金管理业务、基金托管业务的诉讼或仲裁；</w:t>
      </w:r>
    </w:p>
    <w:p w14:paraId="1C839FA1"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008FB1A5" w14:textId="77777777" w:rsidR="006D7D7F" w:rsidRDefault="008841B6">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39EA55D"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14、</w:t>
      </w:r>
      <w:r>
        <w:rPr>
          <w:rFonts w:ascii="宋体" w:hAnsi="宋体" w:cs="宋体"/>
          <w:kern w:val="0"/>
          <w:sz w:val="24"/>
          <w:szCs w:val="24"/>
        </w:rPr>
        <w:t>基金收益分配事项；</w:t>
      </w:r>
    </w:p>
    <w:p w14:paraId="183AB0E3"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15、</w:t>
      </w:r>
      <w:r>
        <w:rPr>
          <w:rFonts w:ascii="宋体" w:hAnsi="宋体" w:cs="宋体"/>
          <w:kern w:val="0"/>
          <w:sz w:val="24"/>
          <w:szCs w:val="24"/>
        </w:rPr>
        <w:t>管理费、托管费、申购费和赎回费等费用计提标准、计提方式和费率发生变更；</w:t>
      </w:r>
    </w:p>
    <w:p w14:paraId="1EA0BA1D"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16、</w:t>
      </w:r>
      <w:r>
        <w:rPr>
          <w:rFonts w:ascii="宋体" w:hAnsi="宋体" w:cs="宋体"/>
          <w:kern w:val="0"/>
          <w:sz w:val="24"/>
          <w:szCs w:val="24"/>
        </w:rPr>
        <w:t>基金份额净值估值错误</w:t>
      </w:r>
      <w:proofErr w:type="gramStart"/>
      <w:r>
        <w:rPr>
          <w:rFonts w:ascii="宋体" w:hAnsi="宋体" w:cs="宋体"/>
          <w:kern w:val="0"/>
          <w:sz w:val="24"/>
          <w:szCs w:val="24"/>
        </w:rPr>
        <w:t>达基金</w:t>
      </w:r>
      <w:proofErr w:type="gramEnd"/>
      <w:r>
        <w:rPr>
          <w:rFonts w:ascii="宋体" w:hAnsi="宋体" w:cs="宋体"/>
          <w:kern w:val="0"/>
          <w:sz w:val="24"/>
          <w:szCs w:val="24"/>
        </w:rPr>
        <w:t>份额净值百分之零点五；</w:t>
      </w:r>
    </w:p>
    <w:p w14:paraId="1710AADD"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17、</w:t>
      </w:r>
      <w:r>
        <w:rPr>
          <w:rFonts w:ascii="宋体" w:hAnsi="宋体" w:cs="宋体"/>
          <w:kern w:val="0"/>
          <w:sz w:val="24"/>
          <w:szCs w:val="24"/>
        </w:rPr>
        <w:t>本基金开始办理申购、赎回；</w:t>
      </w:r>
    </w:p>
    <w:p w14:paraId="7577A494"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18、</w:t>
      </w:r>
      <w:r>
        <w:rPr>
          <w:rFonts w:ascii="宋体" w:hAnsi="宋体" w:cs="宋体"/>
          <w:kern w:val="0"/>
          <w:sz w:val="24"/>
          <w:szCs w:val="24"/>
        </w:rPr>
        <w:t>本基金暂停接受申购、赎回申请或者重新接受申购、赎回申请；</w:t>
      </w:r>
    </w:p>
    <w:p w14:paraId="09F1C47B"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19、</w:t>
      </w:r>
      <w:r>
        <w:rPr>
          <w:rFonts w:ascii="宋体" w:hAnsi="宋体" w:cs="宋体"/>
          <w:kern w:val="0"/>
          <w:sz w:val="24"/>
          <w:szCs w:val="24"/>
        </w:rPr>
        <w:t>本基金变更标的指数；</w:t>
      </w:r>
    </w:p>
    <w:p w14:paraId="1B0B648C"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20、基金份额停复牌、暂停上市、恢复上市或终止上市交易；</w:t>
      </w:r>
    </w:p>
    <w:p w14:paraId="1F1D1BBD"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21、</w:t>
      </w:r>
      <w:r>
        <w:rPr>
          <w:rFonts w:ascii="宋体" w:hAnsi="宋体" w:cs="宋体"/>
          <w:kern w:val="0"/>
          <w:sz w:val="24"/>
          <w:szCs w:val="24"/>
        </w:rPr>
        <w:t>本基金推出新业务或服务；</w:t>
      </w:r>
    </w:p>
    <w:p w14:paraId="3ABDE313"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22、</w:t>
      </w:r>
      <w:r>
        <w:rPr>
          <w:rFonts w:ascii="宋体" w:hAnsi="宋体" w:cs="宋体"/>
          <w:kern w:val="0"/>
          <w:sz w:val="24"/>
          <w:szCs w:val="24"/>
        </w:rPr>
        <w:t>调整最小申购赎回单位、申购赎回方式及申购对价、赎回对价组成；</w:t>
      </w:r>
    </w:p>
    <w:p w14:paraId="21BD1956"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23、</w:t>
      </w:r>
      <w:r>
        <w:rPr>
          <w:rFonts w:ascii="宋体" w:hAnsi="宋体" w:cs="宋体"/>
          <w:kern w:val="0"/>
          <w:sz w:val="24"/>
          <w:szCs w:val="24"/>
        </w:rPr>
        <w:t>发生涉及基金申购、赎回事项调整或潜在影响投资者赎回等重大事项时；</w:t>
      </w:r>
    </w:p>
    <w:p w14:paraId="6E81AC04"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24、</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14:paraId="7FB102F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（十）澄清公告</w:t>
      </w:r>
    </w:p>
    <w:p w14:paraId="44CCE00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r>
        <w:rPr>
          <w:rFonts w:ascii="宋体" w:hAnsi="宋体" w:cs="宋体"/>
          <w:kern w:val="0"/>
          <w:sz w:val="24"/>
          <w:szCs w:val="24"/>
        </w:rPr>
        <w:lastRenderedPageBreak/>
        <w:t>并将有关情况立即报告基金上市交易的证券交易所。</w:t>
      </w:r>
    </w:p>
    <w:p w14:paraId="02BC56D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（十一）清算报告</w:t>
      </w:r>
    </w:p>
    <w:p w14:paraId="0E5B990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w:t>
      </w:r>
      <w:proofErr w:type="gramStart"/>
      <w:r>
        <w:rPr>
          <w:rFonts w:ascii="宋体" w:hAnsi="宋体" w:cs="宋体"/>
          <w:kern w:val="0"/>
          <w:sz w:val="24"/>
          <w:szCs w:val="24"/>
        </w:rPr>
        <w:t>作出</w:t>
      </w:r>
      <w:proofErr w:type="gramEnd"/>
      <w:r>
        <w:rPr>
          <w:rFonts w:ascii="宋体" w:hAnsi="宋体" w:cs="宋体"/>
          <w:kern w:val="0"/>
          <w:sz w:val="24"/>
          <w:szCs w:val="24"/>
        </w:rPr>
        <w:t>清算报告。基金财产清算小组应当将清算报告登载在规定网站上，并将清算报告提示性公告登载在规定报刊上。</w:t>
      </w:r>
    </w:p>
    <w:p w14:paraId="6B0B244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（十二）基金份额持有人大会决议</w:t>
      </w:r>
    </w:p>
    <w:p w14:paraId="257B63C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14:paraId="09AF94C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（十三）中国证监会规定的其他信息</w:t>
      </w:r>
    </w:p>
    <w:p w14:paraId="2FEA39DB"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7BA5190"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参与股指期货投资，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51D7D455"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参与国债期货投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5FF9A49B"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参与股票期权投资，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72CC573"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本基金参与融资业务，基金管理人应在季度报告、中期报告、年度报告等定期报告和招募说明书（更新）等文件中披露参与融资交易的情况，包括投资策略、业务开展情况、损益情况、风险及管理情况。</w:t>
      </w:r>
    </w:p>
    <w:p w14:paraId="5B9F78E9" w14:textId="77777777" w:rsidR="006D7D7F" w:rsidRDefault="008841B6">
      <w:pPr>
        <w:pStyle w:val="div"/>
        <w:spacing w:line="360" w:lineRule="auto"/>
        <w:ind w:firstLine="480"/>
        <w:rPr>
          <w:rFonts w:eastAsia="Times New Roman"/>
          <w:kern w:val="0"/>
          <w:sz w:val="24"/>
          <w:szCs w:val="24"/>
        </w:rPr>
      </w:pPr>
      <w:r>
        <w:rPr>
          <w:rStyle w:val="custom"/>
          <w:rFonts w:ascii="宋体" w:hAnsi="宋体" w:cs="宋体"/>
          <w:kern w:val="0"/>
          <w:sz w:val="24"/>
          <w:szCs w:val="24"/>
        </w:rPr>
        <w:t>若本基金参与转融通证券出借业务，基金管理人应在季度报告、中期报告、</w:t>
      </w:r>
      <w:r>
        <w:rPr>
          <w:rStyle w:val="custom"/>
          <w:rFonts w:ascii="宋体" w:hAnsi="宋体" w:cs="宋体"/>
          <w:kern w:val="0"/>
          <w:sz w:val="24"/>
          <w:szCs w:val="24"/>
        </w:rPr>
        <w:lastRenderedPageBreak/>
        <w:t>年度报告等定期报告和招募说明书（更新）等文件中披露参与转融通证券出借业务交易的情况，包括投资策略、业务开展情况、损益情况、风险及管理情况，并就报告期内本基金参与转融通证券出借业务发生的重大关联交易事项做详细说明。</w:t>
      </w:r>
    </w:p>
    <w:p w14:paraId="0FEE5BF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六、暂停或延迟信息披露的情形</w:t>
      </w:r>
    </w:p>
    <w:p w14:paraId="464AB3A0" w14:textId="77777777" w:rsidR="006D7D7F" w:rsidRDefault="008841B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1、基金投资所涉及的证券/期货交易所遇法定节假日或因其他原因暂停营业时；</w:t>
      </w:r>
    </w:p>
    <w:p w14:paraId="3AD9D100"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5133B89A"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当前一估值日基金资产净值50%以上的资产出现无可参考的活跃市场价格且采用估值技术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公允价值存在重大不确定性，并经与基金托管人协商确认后，基金管理人应当暂停估值时；</w:t>
      </w:r>
    </w:p>
    <w:p w14:paraId="483DD059"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法律法规规定、中国证监会或《基金合同》认定的其他情形。</w:t>
      </w:r>
    </w:p>
    <w:p w14:paraId="066ECF7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七、信息披露事务管理</w:t>
      </w:r>
    </w:p>
    <w:p w14:paraId="64198F4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439A4D1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118D45D4" w14:textId="77777777" w:rsidR="006D7D7F" w:rsidRDefault="008841B6">
      <w:pPr>
        <w:pStyle w:val="div"/>
        <w:spacing w:line="360" w:lineRule="auto"/>
        <w:ind w:firstLine="480"/>
        <w:rPr>
          <w:rFonts w:ascii="宋体" w:hAnsi="宋体" w:cs="宋体"/>
          <w:kern w:val="0"/>
          <w:sz w:val="24"/>
          <w:szCs w:val="24"/>
        </w:rPr>
      </w:pPr>
      <w:r>
        <w:rPr>
          <w:rFonts w:ascii="宋体" w:hAnsi="宋体" w:cs="宋体"/>
          <w:kern w:val="0"/>
          <w:sz w:val="24"/>
          <w:szCs w:val="24"/>
        </w:rPr>
        <w:t>基金托管人应当按照相关法律法规、中国证监会的规定和《基金合同》的约定，对基金管理人编制的基金资产净值、基金份额净值、</w:t>
      </w:r>
      <w:r>
        <w:rPr>
          <w:rStyle w:val="custom"/>
          <w:rFonts w:ascii="宋体" w:hAnsi="宋体" w:cs="宋体"/>
          <w:kern w:val="0"/>
          <w:sz w:val="24"/>
          <w:szCs w:val="24"/>
        </w:rPr>
        <w:t>基金份额申购赎回对价的现金部分、</w:t>
      </w:r>
      <w:r>
        <w:rPr>
          <w:rFonts w:ascii="宋体" w:hAnsi="宋体" w:cs="宋体"/>
          <w:kern w:val="0"/>
          <w:sz w:val="24"/>
          <w:szCs w:val="24"/>
        </w:rPr>
        <w:t>基金定期报告、更新的招募说明书、更新的基金产品资料概要、基金清算报告等公开披露的相关基金信息进行复核、审查，并向基金管理人进行书面或电子确认。</w:t>
      </w:r>
    </w:p>
    <w:p w14:paraId="73BC85E4" w14:textId="77777777" w:rsidR="001C221E" w:rsidRPr="00F35E84" w:rsidRDefault="008841B6" w:rsidP="00F35E84">
      <w:pPr>
        <w:spacing w:line="360" w:lineRule="auto"/>
        <w:ind w:firstLineChars="200" w:firstLine="480"/>
        <w:rPr>
          <w:rFonts w:eastAsia="Times New Roman"/>
          <w:kern w:val="0"/>
          <w:sz w:val="24"/>
          <w:szCs w:val="24"/>
          <w:lang w:val="x-none"/>
        </w:rPr>
      </w:pPr>
      <w:r w:rsidRPr="001C221E">
        <w:rPr>
          <w:rFonts w:ascii="宋体" w:hAnsi="宋体" w:cs="宋体" w:hint="eastAsia"/>
          <w:kern w:val="0"/>
          <w:sz w:val="24"/>
          <w:szCs w:val="24"/>
        </w:rPr>
        <w:t>基金管理人在信息披露时，</w:t>
      </w:r>
      <w:r w:rsidR="00AD6A92" w:rsidRPr="00AD6A92">
        <w:rPr>
          <w:rFonts w:ascii="宋体" w:hAnsi="宋体" w:cs="宋体" w:hint="eastAsia"/>
          <w:kern w:val="0"/>
          <w:sz w:val="24"/>
          <w:szCs w:val="24"/>
        </w:rPr>
        <w:t>在遵守中国证监会关于基金信息披露内容与格式相关规定的前提下，</w:t>
      </w:r>
      <w:r w:rsidRPr="001C221E">
        <w:rPr>
          <w:rFonts w:ascii="宋体" w:hAnsi="宋体" w:cs="宋体" w:hint="eastAsia"/>
          <w:kern w:val="0"/>
          <w:sz w:val="24"/>
          <w:szCs w:val="24"/>
        </w:rPr>
        <w:t>应说明基金托管人所复核的数据和信息。</w:t>
      </w:r>
      <w:r w:rsidR="00F35E84" w:rsidRPr="00CD7A54">
        <w:rPr>
          <w:rFonts w:hint="eastAsia"/>
          <w:bCs/>
          <w:sz w:val="24"/>
        </w:rPr>
        <w:t>对于</w:t>
      </w:r>
      <w:r w:rsidR="00F35E84">
        <w:rPr>
          <w:rFonts w:hint="eastAsia"/>
          <w:bCs/>
          <w:sz w:val="24"/>
        </w:rPr>
        <w:t>基金</w:t>
      </w:r>
      <w:r w:rsidR="00F35E84" w:rsidRPr="00CD7A54">
        <w:rPr>
          <w:rFonts w:hint="eastAsia"/>
          <w:bCs/>
          <w:sz w:val="24"/>
        </w:rPr>
        <w:t>托管人复核结果与</w:t>
      </w:r>
      <w:r w:rsidR="00F35E84">
        <w:rPr>
          <w:rFonts w:hint="eastAsia"/>
          <w:bCs/>
          <w:sz w:val="24"/>
        </w:rPr>
        <w:t>基金</w:t>
      </w:r>
      <w:r w:rsidR="00F35E84" w:rsidRPr="00CD7A54">
        <w:rPr>
          <w:rFonts w:hint="eastAsia"/>
          <w:bCs/>
          <w:sz w:val="24"/>
        </w:rPr>
        <w:t>管理人无法达成一致的，</w:t>
      </w:r>
      <w:r w:rsidR="00F35E84">
        <w:rPr>
          <w:rFonts w:hint="eastAsia"/>
          <w:bCs/>
          <w:sz w:val="24"/>
        </w:rPr>
        <w:t>基金</w:t>
      </w:r>
      <w:r w:rsidR="00F35E84" w:rsidRPr="00CD7A54">
        <w:rPr>
          <w:rFonts w:hint="eastAsia"/>
          <w:bCs/>
          <w:sz w:val="24"/>
        </w:rPr>
        <w:t>管理人应按照有关法律法规进行信息披露。</w:t>
      </w:r>
    </w:p>
    <w:p w14:paraId="22697EA8"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w:t>
      </w:r>
      <w:r>
        <w:rPr>
          <w:rFonts w:ascii="宋体" w:hAnsi="宋体" w:cs="宋体"/>
          <w:kern w:val="0"/>
          <w:sz w:val="24"/>
          <w:szCs w:val="24"/>
        </w:rPr>
        <w:lastRenderedPageBreak/>
        <w:t>信息，并保证相关报送信息的真实、准确、完整、及时。</w:t>
      </w:r>
    </w:p>
    <w:p w14:paraId="442CAC34"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除依法在规定媒介上披露信息外，还可以根据需要在其他公共媒介披露信息，但是其他公共媒介不得早于规定媒介、基金上市交易的证券交易所网站披露信息，并且在不同媒介上披露同一信息的内容应当一致。</w:t>
      </w:r>
    </w:p>
    <w:p w14:paraId="00D7111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w:t>
      </w:r>
      <w:proofErr w:type="gramStart"/>
      <w:r>
        <w:rPr>
          <w:rFonts w:ascii="宋体" w:hAnsi="宋体" w:cs="宋体"/>
          <w:kern w:val="0"/>
          <w:sz w:val="24"/>
          <w:szCs w:val="24"/>
        </w:rPr>
        <w:t>不</w:t>
      </w:r>
      <w:proofErr w:type="gramEnd"/>
      <w:r>
        <w:rPr>
          <w:rFonts w:ascii="宋体" w:hAnsi="宋体" w:cs="宋体"/>
          <w:kern w:val="0"/>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55B6B2A2"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5CEFDB8D"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八、信息披露文件的存放与查阅</w:t>
      </w:r>
    </w:p>
    <w:p w14:paraId="78C6885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依法必须披露的信息发布后，基金管理人、基金托管人应当按照相关法律法规规定将信息置备于各自住所、基金上市交易的证券交易所，供社会公众查阅、复制。</w:t>
      </w:r>
      <w:r>
        <w:rPr>
          <w:rFonts w:ascii="宋体" w:hAnsi="宋体" w:cs="宋体"/>
          <w:kern w:val="0"/>
          <w:sz w:val="24"/>
          <w:szCs w:val="24"/>
        </w:rPr>
        <w:br w:type="page"/>
      </w:r>
    </w:p>
    <w:p w14:paraId="73693C75" w14:textId="77777777" w:rsidR="006D7D7F" w:rsidRDefault="008841B6">
      <w:pPr>
        <w:pStyle w:val="1"/>
        <w:spacing w:before="0" w:after="0"/>
        <w:jc w:val="center"/>
        <w:rPr>
          <w:rFonts w:ascii="Times New Roman"/>
          <w:color w:val="auto"/>
          <w:sz w:val="30"/>
        </w:rPr>
      </w:pPr>
      <w:bookmarkStart w:id="60" w:name="_Toc25600002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基金合同的变更、终止与基金财产的清算</w:t>
      </w:r>
      <w:bookmarkEnd w:id="60"/>
    </w:p>
    <w:p w14:paraId="27414007" w14:textId="77777777" w:rsidR="006D7D7F" w:rsidRDefault="006D7D7F"/>
    <w:p w14:paraId="0D421933"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一、《基金合同》的变更</w:t>
      </w:r>
    </w:p>
    <w:p w14:paraId="3BCD6609"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1、变更基金合同涉及法律法规规定或本基金合同约定应经基金份额持有人大会决议通过的事项的，应召</w:t>
      </w:r>
      <w:proofErr w:type="gramStart"/>
      <w:r>
        <w:rPr>
          <w:rFonts w:ascii="宋体" w:hAnsi="宋体" w:cs="宋体"/>
          <w:kern w:val="0"/>
          <w:sz w:val="24"/>
          <w:szCs w:val="24"/>
        </w:rPr>
        <w:t>开基金</w:t>
      </w:r>
      <w:proofErr w:type="gramEnd"/>
      <w:r>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14:paraId="51D03D10"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2、关于《基金合同》变更的基金份额持有人大会决议自生效后方可执行，</w:t>
      </w:r>
      <w:proofErr w:type="gramStart"/>
      <w:r>
        <w:rPr>
          <w:rFonts w:ascii="宋体" w:hAnsi="宋体" w:cs="宋体"/>
          <w:kern w:val="0"/>
          <w:sz w:val="24"/>
          <w:szCs w:val="24"/>
        </w:rPr>
        <w:t>自决议</w:t>
      </w:r>
      <w:proofErr w:type="gramEnd"/>
      <w:r>
        <w:rPr>
          <w:rFonts w:ascii="宋体" w:hAnsi="宋体" w:cs="宋体"/>
          <w:kern w:val="0"/>
          <w:sz w:val="24"/>
          <w:szCs w:val="24"/>
        </w:rPr>
        <w:t>生效后两日内在规定媒介公告。</w:t>
      </w:r>
    </w:p>
    <w:p w14:paraId="3CC367D4"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二、《基金合同》的终止事由</w:t>
      </w:r>
    </w:p>
    <w:p w14:paraId="2F7301C4"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有下列情形之一的，经履行相关程序后，《基金合同》应当终止：</w:t>
      </w:r>
    </w:p>
    <w:p w14:paraId="6A177632"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基金份额持有人大会决定终止的；</w:t>
      </w:r>
    </w:p>
    <w:p w14:paraId="211E4CA2"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14:paraId="226EAEFB" w14:textId="77777777" w:rsidR="006D7D7F" w:rsidRDefault="008841B6">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0B3B9BA5"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《基金合同》约定的其他情形；</w:t>
      </w:r>
    </w:p>
    <w:p w14:paraId="08CEAEDC" w14:textId="77777777" w:rsidR="006D7D7F" w:rsidRDefault="008841B6">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相关法律法规和中国证监会规定的其他情况。</w:t>
      </w:r>
    </w:p>
    <w:p w14:paraId="7C16DDF3"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三、基金财产的清算</w:t>
      </w:r>
    </w:p>
    <w:p w14:paraId="144D9DAE"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00A6CCFE"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A12E945"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628BA9FF"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4、基金财产清算程序：</w:t>
      </w:r>
    </w:p>
    <w:p w14:paraId="23058E3E"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14:paraId="272EA037"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（2）对基金财产和债权债务进行清理和确认；</w:t>
      </w:r>
    </w:p>
    <w:p w14:paraId="42C52098"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（3）对基金财产进行估值和变现；</w:t>
      </w:r>
    </w:p>
    <w:p w14:paraId="1F802D0E"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（4）制作清算报告；</w:t>
      </w:r>
    </w:p>
    <w:p w14:paraId="134D30A7"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135043D9"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（6）将清算报告报中国证监会备案并公告；</w:t>
      </w:r>
    </w:p>
    <w:p w14:paraId="094792C2"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（7）对基金剩余财产进行分配。</w:t>
      </w:r>
    </w:p>
    <w:p w14:paraId="19D5D56D"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3B696BDF"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四、清算费用</w:t>
      </w:r>
    </w:p>
    <w:p w14:paraId="565C2978"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28AFCA2B"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五、基金财产清算剩余资产的分配</w:t>
      </w:r>
    </w:p>
    <w:p w14:paraId="7AEBAAD6"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3E05BE11"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六、基金财产清算的公告</w:t>
      </w:r>
    </w:p>
    <w:p w14:paraId="7D59626C"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清算过程中的有关重大事项须及时公告；基金财产清算报告</w:t>
      </w:r>
      <w:proofErr w:type="gramStart"/>
      <w:r>
        <w:rPr>
          <w:rFonts w:ascii="宋体" w:hAnsi="宋体" w:cs="宋体"/>
          <w:kern w:val="0"/>
          <w:sz w:val="24"/>
          <w:szCs w:val="24"/>
        </w:rPr>
        <w:t>经符合</w:t>
      </w:r>
      <w:proofErr w:type="gramEnd"/>
      <w:r>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921B7AD"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七、基金财产清算账册及文件的保存</w:t>
      </w:r>
    </w:p>
    <w:p w14:paraId="4D905E29" w14:textId="77777777" w:rsidR="006D7D7F" w:rsidRDefault="008841B6">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基金财产清算账册及有关文件由基金托管人保存，</w:t>
      </w:r>
      <w:r w:rsidR="001C221E" w:rsidRPr="001C221E">
        <w:rPr>
          <w:rFonts w:ascii="宋体" w:hAnsi="宋体" w:cs="宋体" w:hint="eastAsia"/>
          <w:kern w:val="0"/>
          <w:sz w:val="24"/>
          <w:szCs w:val="24"/>
        </w:rPr>
        <w:t>保存期限按照法律法规的规定执行</w:t>
      </w:r>
      <w:r>
        <w:rPr>
          <w:rFonts w:ascii="宋体" w:hAnsi="宋体" w:cs="宋体"/>
          <w:kern w:val="0"/>
          <w:sz w:val="24"/>
          <w:szCs w:val="24"/>
        </w:rPr>
        <w:t>。</w:t>
      </w:r>
      <w:r>
        <w:rPr>
          <w:rFonts w:ascii="宋体" w:hAnsi="宋体" w:cs="宋体"/>
          <w:kern w:val="0"/>
          <w:sz w:val="24"/>
          <w:szCs w:val="24"/>
        </w:rPr>
        <w:br w:type="page"/>
      </w:r>
    </w:p>
    <w:p w14:paraId="36791D77" w14:textId="77777777" w:rsidR="006D7D7F" w:rsidRDefault="008841B6">
      <w:pPr>
        <w:pStyle w:val="1"/>
        <w:spacing w:before="0" w:after="0"/>
        <w:jc w:val="center"/>
        <w:rPr>
          <w:rFonts w:ascii="Times New Roman"/>
          <w:color w:val="auto"/>
          <w:sz w:val="30"/>
        </w:rPr>
      </w:pPr>
      <w:bookmarkStart w:id="61" w:name="_Toc25600002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违约责任</w:t>
      </w:r>
      <w:bookmarkEnd w:id="61"/>
    </w:p>
    <w:p w14:paraId="5F6C3E83" w14:textId="77777777" w:rsidR="006D7D7F" w:rsidRDefault="006D7D7F"/>
    <w:p w14:paraId="56A7111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62476F9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1、不可抗力；</w:t>
      </w:r>
    </w:p>
    <w:p w14:paraId="69915563"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14:paraId="0785AD21"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3、基金管理人由于按照《基金合同》规定的投资原则行使或不行使其投资权而造成的损失等。</w:t>
      </w:r>
    </w:p>
    <w:p w14:paraId="2E4F8FA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D45AF4A"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14:paraId="35626C45" w14:textId="77777777" w:rsidR="006D7D7F" w:rsidRDefault="008841B6">
      <w:pPr>
        <w:pStyle w:val="1"/>
        <w:spacing w:before="0" w:after="0"/>
        <w:jc w:val="center"/>
        <w:rPr>
          <w:rFonts w:ascii="Times New Roman"/>
          <w:color w:val="auto"/>
          <w:sz w:val="30"/>
        </w:rPr>
      </w:pPr>
      <w:bookmarkStart w:id="62" w:name="_Toc256000022"/>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争议的处理和适用的法律</w:t>
      </w:r>
      <w:bookmarkEnd w:id="62"/>
    </w:p>
    <w:p w14:paraId="1BE06A5C" w14:textId="77777777" w:rsidR="006D7D7F" w:rsidRDefault="006D7D7F"/>
    <w:p w14:paraId="0B5D165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w:t>
      </w:r>
      <w:r>
        <w:rPr>
          <w:rFonts w:ascii="宋体" w:hAnsi="宋体" w:cs="宋体" w:hint="eastAsia"/>
          <w:kern w:val="0"/>
          <w:sz w:val="24"/>
          <w:szCs w:val="24"/>
        </w:rPr>
        <w:t>中国国际经济贸易仲裁委员会</w:t>
      </w:r>
      <w:r>
        <w:rPr>
          <w:rFonts w:ascii="宋体" w:hAnsi="宋体" w:cs="宋体"/>
          <w:kern w:val="0"/>
          <w:sz w:val="24"/>
          <w:szCs w:val="24"/>
        </w:rPr>
        <w:t>，按照其届时有效的仲裁规则进行仲裁，仲裁地点为</w:t>
      </w:r>
      <w:r>
        <w:rPr>
          <w:rFonts w:ascii="宋体" w:hAnsi="宋体" w:cs="宋体" w:hint="eastAsia"/>
          <w:kern w:val="0"/>
          <w:sz w:val="24"/>
          <w:szCs w:val="24"/>
        </w:rPr>
        <w:t>北京市</w:t>
      </w:r>
      <w:r>
        <w:rPr>
          <w:rFonts w:ascii="宋体" w:hAnsi="宋体" w:cs="宋体"/>
          <w:kern w:val="0"/>
          <w:sz w:val="24"/>
          <w:szCs w:val="24"/>
        </w:rPr>
        <w:t>。仲裁裁决是终局的，对各方当事人均有约束力，除非仲裁裁决另有决定，仲裁费用由败诉方承担。</w:t>
      </w:r>
    </w:p>
    <w:p w14:paraId="0D2F46C0"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争议处理期间，相关各方当事人应恪守各自职责，继续忠实、勤勉、尽责地履行《基金合同》约定的义务，维护基金份额持有人的合法权益。</w:t>
      </w:r>
    </w:p>
    <w:p w14:paraId="69B9F53C"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14:paraId="1E01F590" w14:textId="77777777" w:rsidR="006D7D7F" w:rsidRDefault="008841B6">
      <w:pPr>
        <w:pStyle w:val="1"/>
        <w:spacing w:before="0" w:after="0"/>
        <w:jc w:val="center"/>
        <w:rPr>
          <w:rFonts w:ascii="Times New Roman"/>
          <w:color w:val="auto"/>
          <w:sz w:val="30"/>
        </w:rPr>
      </w:pPr>
      <w:bookmarkStart w:id="63" w:name="_Toc256000023"/>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基金合同的效力</w:t>
      </w:r>
      <w:bookmarkEnd w:id="63"/>
    </w:p>
    <w:p w14:paraId="4C3644F7" w14:textId="77777777" w:rsidR="006D7D7F" w:rsidRDefault="006D7D7F"/>
    <w:p w14:paraId="5900A5A6"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08DFBD0E"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0A647D35"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4C2419CB"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1FFE5BC9"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7C13FC17"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14:paraId="25BB08E6" w14:textId="77777777" w:rsidR="006D7D7F" w:rsidRDefault="008841B6">
      <w:pPr>
        <w:pStyle w:val="1"/>
        <w:spacing w:before="0" w:after="0"/>
        <w:jc w:val="center"/>
        <w:rPr>
          <w:rFonts w:ascii="Times New Roman"/>
          <w:color w:val="auto"/>
          <w:sz w:val="30"/>
        </w:rPr>
      </w:pPr>
      <w:bookmarkStart w:id="64" w:name="_Toc256000024"/>
      <w:r>
        <w:rPr>
          <w:rFonts w:ascii="Times New Roman"/>
          <w:color w:val="auto"/>
          <w:sz w:val="30"/>
        </w:rPr>
        <w:lastRenderedPageBreak/>
        <w:t>第二十五部分</w:t>
      </w:r>
      <w:r>
        <w:rPr>
          <w:rFonts w:ascii="Times New Roman"/>
          <w:color w:val="auto"/>
          <w:sz w:val="30"/>
        </w:rPr>
        <w:t xml:space="preserve">  </w:t>
      </w:r>
      <w:r>
        <w:rPr>
          <w:rFonts w:ascii="Times New Roman"/>
          <w:color w:val="auto"/>
          <w:sz w:val="30"/>
        </w:rPr>
        <w:t>其他事项</w:t>
      </w:r>
      <w:bookmarkEnd w:id="64"/>
    </w:p>
    <w:p w14:paraId="135133DA" w14:textId="77777777" w:rsidR="006D7D7F" w:rsidRDefault="006D7D7F"/>
    <w:p w14:paraId="2D3EF2EF" w14:textId="77777777" w:rsidR="006D7D7F" w:rsidRDefault="008841B6">
      <w:pPr>
        <w:pStyle w:val="div"/>
        <w:spacing w:line="360" w:lineRule="auto"/>
        <w:ind w:firstLine="48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14:paraId="62FA9244" w14:textId="77777777" w:rsidR="006D7D7F" w:rsidRDefault="008841B6">
      <w:pPr>
        <w:pStyle w:val="1"/>
        <w:spacing w:before="0" w:after="0"/>
        <w:jc w:val="center"/>
        <w:rPr>
          <w:rFonts w:ascii="Times New Roman"/>
          <w:color w:val="auto"/>
          <w:sz w:val="30"/>
        </w:rPr>
      </w:pPr>
      <w:bookmarkStart w:id="65" w:name="_Toc256000025"/>
      <w:r>
        <w:rPr>
          <w:rFonts w:ascii="Times New Roman"/>
          <w:color w:val="auto"/>
          <w:sz w:val="30"/>
        </w:rPr>
        <w:lastRenderedPageBreak/>
        <w:t>第二十六部分</w:t>
      </w:r>
      <w:r>
        <w:rPr>
          <w:rFonts w:ascii="Times New Roman"/>
          <w:color w:val="auto"/>
          <w:sz w:val="30"/>
        </w:rPr>
        <w:t xml:space="preserve">  </w:t>
      </w:r>
      <w:r>
        <w:rPr>
          <w:rFonts w:ascii="Times New Roman"/>
          <w:color w:val="auto"/>
          <w:sz w:val="30"/>
        </w:rPr>
        <w:t>基金合同内容摘要</w:t>
      </w:r>
      <w:bookmarkEnd w:id="65"/>
      <w:r>
        <w:rPr>
          <w:rFonts w:ascii="Times New Roman"/>
          <w:color w:val="auto"/>
          <w:sz w:val="30"/>
        </w:rPr>
        <w:br/>
      </w:r>
    </w:p>
    <w:p w14:paraId="41CA1391"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14:paraId="005D8BD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14:paraId="1FCAEC6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1、根据《基金法》、《运作办法》及其他有关规定，基金管理人的权利包括但不限于：</w:t>
      </w:r>
    </w:p>
    <w:p w14:paraId="46DD27A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（1）依法募集资金；</w:t>
      </w:r>
    </w:p>
    <w:p w14:paraId="2D481FC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（2）自《基金合同》生效之日起，根据法律法规和《基金合同》独立运用并管理基金财产；</w:t>
      </w:r>
    </w:p>
    <w:p w14:paraId="42F78F1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（3）依照《基金合同》收取基金管理费以及法律法规规定或中国证监会批准的其他费用；</w:t>
      </w:r>
    </w:p>
    <w:p w14:paraId="2E38A2D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（4）销售基金份额；</w:t>
      </w:r>
    </w:p>
    <w:p w14:paraId="4DCB20B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（5）按照规定召集基金份额持有人大会；</w:t>
      </w:r>
    </w:p>
    <w:p w14:paraId="04B3D35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01BEB06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（7）在基金托管人更换时，提名新的基金托管人；</w:t>
      </w:r>
    </w:p>
    <w:p w14:paraId="0B82416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（8）选择、更换基金销售机构，对基金销售机构的相关行为进行监督和处理；</w:t>
      </w:r>
    </w:p>
    <w:p w14:paraId="1F14BC8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799268C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（10）依据《基金合同》及有关法律规定决定基金收益的分配方案；</w:t>
      </w:r>
    </w:p>
    <w:p w14:paraId="00CA2C5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（11）在《基金合同》约定的范围内，拒绝或暂停受理申购与赎回申请；</w:t>
      </w:r>
    </w:p>
    <w:p w14:paraId="6712DA18"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5945AD2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（13）在法律法规允许的前提下，为基金的利益依法为基金进行融资及转融通证券出借业务；</w:t>
      </w:r>
    </w:p>
    <w:p w14:paraId="6111703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（14）以基金管理人的名义，代表基金份额持有人的利益行使诉讼权利或者实施其他法律行为；</w:t>
      </w:r>
    </w:p>
    <w:p w14:paraId="750AB1C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lastRenderedPageBreak/>
        <w:t>（15）选择、更换律师事务所、会计师事务所、证券经纪商、期货经纪机构或其他为基金提供服务的外部机构；</w:t>
      </w:r>
    </w:p>
    <w:p w14:paraId="36537AF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（16）在符合有关法律、法规的前提下，制订和调整有关基金认购、申购、赎回等业务规则；</w:t>
      </w:r>
    </w:p>
    <w:p w14:paraId="3BA1DEE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（17）法律法规及中国证监会规定的和《基金合同》约定的其他权利。</w:t>
      </w:r>
    </w:p>
    <w:p w14:paraId="4BF1171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2、根据《基金法》、《运作办法》及其他有关规定，基金管理人的义务包括但不限于：</w:t>
      </w:r>
    </w:p>
    <w:p w14:paraId="7B0F98A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206053E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（2）办理基金备案手续；</w:t>
      </w:r>
    </w:p>
    <w:p w14:paraId="2A807E5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（3）自《基金合同》生效之日起，以诚实信用、谨慎勤勉的原则管理和运用基金财产；</w:t>
      </w:r>
    </w:p>
    <w:p w14:paraId="1E7BC83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0DBDB6F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421FC27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57735E2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（7）依法接受基金托管人的监督；</w:t>
      </w:r>
    </w:p>
    <w:p w14:paraId="7FF0476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8）采取适当合理的措施使计算基金份额认购价格、申购对价、赎回对价和注销价格的方法符合《基金合同》等法律文件的规定，按有关规定计算并公告基金净值信息，确定基金份额申购、赎回的对价，编制申购赎回清单；</w:t>
      </w:r>
    </w:p>
    <w:p w14:paraId="3FF0F61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（9）进行基金会计核算并编制基金财务会计报告；</w:t>
      </w:r>
    </w:p>
    <w:p w14:paraId="1A1DB3F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（10）编制季度报告、中期报告和年度报告；</w:t>
      </w:r>
    </w:p>
    <w:p w14:paraId="008CC10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（11）严格按照《基金法》、《基金合同》及其他有关规定，履行信息披露及报告义务；</w:t>
      </w:r>
    </w:p>
    <w:p w14:paraId="32D5DDE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（12）保守基金商业秘密，不泄露基金投资计划、投资意向等。除《基金法》、《基金合同》及其他有关规定另有规定外，在基金信息公开披露前应予</w:t>
      </w:r>
      <w:r>
        <w:rPr>
          <w:rFonts w:ascii="宋体" w:hAnsi="宋体" w:cs="宋体"/>
          <w:kern w:val="0"/>
          <w:sz w:val="24"/>
          <w:szCs w:val="24"/>
        </w:rPr>
        <w:lastRenderedPageBreak/>
        <w:t>保密，不向他人泄露，但应监管机构、司法机关等有权机关的要求，或因审计、法律等外部专业顾问提供服务需要提供的情况除外；</w:t>
      </w:r>
    </w:p>
    <w:p w14:paraId="51AF58F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（13）按《基金合同》的约定确定基金收益分配方案，及时向基金份额持有人分配基金收益；</w:t>
      </w:r>
    </w:p>
    <w:p w14:paraId="4EF3C8F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（14）按规定受理申购与赎回申请，及时、足额支付赎回对价；</w:t>
      </w:r>
    </w:p>
    <w:p w14:paraId="7972735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36BEC95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503FADA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5F5DAB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（18）组织并参加基金财产清算小组，参与基金财产的保管、清理、估价、变现和分配；</w:t>
      </w:r>
    </w:p>
    <w:p w14:paraId="33D3E89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（19）面临解散、依法被撤销或者被依法宣告破产时，及时报告中国证监会并通知基金托管人；</w:t>
      </w:r>
    </w:p>
    <w:p w14:paraId="638F6B8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101C34F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2528C04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2765F1E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（23）以基金管理人名义，代表基金份额持有人利益行使诉讼权利或实施其他法律行为；</w:t>
      </w:r>
    </w:p>
    <w:p w14:paraId="0CFE4A5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同时由登记机构将已冻结的股票解冻；</w:t>
      </w:r>
    </w:p>
    <w:p w14:paraId="1277C00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lastRenderedPageBreak/>
        <w:t>（25）执行生效的基金份额持有人大会的决议；</w:t>
      </w:r>
    </w:p>
    <w:p w14:paraId="170DC79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（26）建立并保存基金份额持有人名册；</w:t>
      </w:r>
    </w:p>
    <w:p w14:paraId="06AFEFC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（27）法律法规及中国证监会规定的和《基金合同》约定的其他义务。</w:t>
      </w:r>
    </w:p>
    <w:p w14:paraId="268DCCE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14:paraId="28F9A0B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1、根据《基金法》、《运作办法》及其他有关规定，基金托管人的权利包括但不限于：</w:t>
      </w:r>
    </w:p>
    <w:p w14:paraId="0B966EA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（1）自《基金合同》生效之日起，依法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和《基金合同》的规定安全保管基金财产；</w:t>
      </w:r>
    </w:p>
    <w:p w14:paraId="2520F4E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（2）依《基金合同》约定获得基金托管费以及法律法规规定或监管部门批准的其他费用；</w:t>
      </w:r>
    </w:p>
    <w:p w14:paraId="7C5F5C9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170DD0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（4）根据相关市场规则，为基金开设资金账户和证券账户等投资所需账户，为基金办理证券、期货交易资金清算；</w:t>
      </w:r>
    </w:p>
    <w:p w14:paraId="11DD633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（5）提议召开或召集基金份额持有人大会；</w:t>
      </w:r>
    </w:p>
    <w:p w14:paraId="7533011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（6）在基金管理人更换时，提名新的基金管理人；</w:t>
      </w:r>
    </w:p>
    <w:p w14:paraId="40BD3189"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（7）法律法规及中国证监会规定的和《基金合同》约定的其他权利。</w:t>
      </w:r>
    </w:p>
    <w:p w14:paraId="3522238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2、根据《基金法》、《运作办法》及其他有关规定，基金托管人的义务包括但不限于：</w:t>
      </w:r>
    </w:p>
    <w:p w14:paraId="79B97B7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（1）以诚实信用、勤勉尽责的原则持有并安全保管基金财产；</w:t>
      </w:r>
    </w:p>
    <w:p w14:paraId="5BC3198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66B7A6B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E837D5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（4）除依据《基金法》、《基金合同》及其他有关规定外，不得利用基金财产为自己及任何第三人谋取利益，不得委托第三人托管基金财产；</w:t>
      </w:r>
    </w:p>
    <w:p w14:paraId="056B672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lastRenderedPageBreak/>
        <w:t>（5）保管由基金管理人代表基金签订的与基金有关的重大合同及有关凭证；</w:t>
      </w:r>
    </w:p>
    <w:p w14:paraId="04618ED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（6）按规定开设基金财产的资金账户和证券账户等投资所需账户，按照《基金合同》的约定，根据基金管理人的投资指令，及时办理清算、交割事宜；</w:t>
      </w:r>
    </w:p>
    <w:p w14:paraId="2DB102F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7ACB1D5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（8）复核、审查基金管理人计算的基金资产净值、基金份额净值、基金份额申购、赎回对价的现金部分；</w:t>
      </w:r>
    </w:p>
    <w:p w14:paraId="5D3240A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（9）办理与基金托管业务活动有关的信息披露事项；</w:t>
      </w:r>
    </w:p>
    <w:p w14:paraId="6BE6B4E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CB7269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（11）保存基金托管业务活动的记录、账册、报表和其他相关资料，保存期限按照法律法规的规定执行；</w:t>
      </w:r>
    </w:p>
    <w:p w14:paraId="6951121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（12）从基金管理人或其委托的登记机构处接收保存基金份额持有人名册；</w:t>
      </w:r>
    </w:p>
    <w:p w14:paraId="66304AB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（13）按规定制作相关账册并与基金管理人核对；</w:t>
      </w:r>
    </w:p>
    <w:p w14:paraId="65AEE4B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（14）依据基金管理人的指令或有关规定向基金份额持有人支付基金收益和赎回对价的现金部分；</w:t>
      </w:r>
    </w:p>
    <w:p w14:paraId="0189D81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2034A5E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（16）按照法律法规和《基金合同》的规定监督基金管理人的投资运作；</w:t>
      </w:r>
    </w:p>
    <w:p w14:paraId="1ECC7E4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（17）参加基金财产清算小组，参与基金财产的保管、清理、估价、变现和分配；</w:t>
      </w:r>
    </w:p>
    <w:p w14:paraId="26166C50"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（18）面临解散、依法被撤销或者被依法宣告破产时，及时报告中国证监会</w:t>
      </w:r>
      <w:r>
        <w:rPr>
          <w:rFonts w:ascii="宋体" w:hAnsi="宋体" w:cs="宋体"/>
          <w:kern w:val="0"/>
          <w:sz w:val="24"/>
          <w:szCs w:val="24"/>
        </w:rPr>
        <w:lastRenderedPageBreak/>
        <w:t>和银行业监督管理机构，并通知基金管理人；</w:t>
      </w:r>
    </w:p>
    <w:p w14:paraId="4545FF7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（19）因违反《基金合同》导致基金财产损失时，应承担赔偿责任，其赔偿责任不因其退任而免除；</w:t>
      </w:r>
    </w:p>
    <w:p w14:paraId="29660B2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14:paraId="4AC698A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（21）执行生效的基金份额持有人大会的决议；</w:t>
      </w:r>
    </w:p>
    <w:p w14:paraId="3FDB356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（22）法律法规及中国证监会规定的和《基金合同》约定的其他义务。</w:t>
      </w:r>
    </w:p>
    <w:p w14:paraId="579D92F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14:paraId="531C6EB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基金投资者持有本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份额的行为即视为对《基金合同》的承认和接受，基金投资者</w:t>
      </w:r>
      <w:proofErr w:type="gramStart"/>
      <w:r>
        <w:rPr>
          <w:rFonts w:ascii="宋体" w:hAnsi="宋体" w:cs="宋体"/>
          <w:kern w:val="0"/>
          <w:sz w:val="24"/>
          <w:szCs w:val="24"/>
        </w:rPr>
        <w:t>自依据</w:t>
      </w:r>
      <w:proofErr w:type="gramEnd"/>
      <w:r>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4D13469"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每份基金份额具有同等的合法权益。</w:t>
      </w:r>
    </w:p>
    <w:p w14:paraId="68D45B4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1、根据《基金法》、《运作办法》及其他有关规定，基金份额持有人的权利包括但不限于：</w:t>
      </w:r>
    </w:p>
    <w:p w14:paraId="35BDFF3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54F5C88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741C0A6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72C75C2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6526CBB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1C62D27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（6）查阅或者复制公开披露的基金信息资料；</w:t>
      </w:r>
    </w:p>
    <w:p w14:paraId="16314A5F"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（7）监督基金管理人的投资运作；</w:t>
      </w:r>
    </w:p>
    <w:p w14:paraId="7BFECCE4"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7907315F"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（9）法律法规及中国证监会规定的和《基金合同》约定的其他权利。</w:t>
      </w:r>
    </w:p>
    <w:p w14:paraId="23FE151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2、根据《基金法》、《运作办法》及其他有关规定，基金份额持有人的义</w:t>
      </w:r>
      <w:r>
        <w:rPr>
          <w:rFonts w:ascii="宋体" w:hAnsi="宋体" w:cs="宋体"/>
          <w:kern w:val="0"/>
          <w:sz w:val="24"/>
          <w:szCs w:val="24"/>
        </w:rPr>
        <w:lastRenderedPageBreak/>
        <w:t>务包括但不限于：</w:t>
      </w:r>
    </w:p>
    <w:p w14:paraId="657C6F9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（1）认真阅读并遵守《基金合同》、《招募说明书》等信息披露文件；</w:t>
      </w:r>
    </w:p>
    <w:p w14:paraId="71D107C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（2）了解所投资基金产品，了解自身风险承受能力，自主判断基金的投资价值，自主做出投资决策，自行承担投资风险；</w:t>
      </w:r>
    </w:p>
    <w:p w14:paraId="7B256CE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（3）关注基金信息披露，及时行使权利和履行义务；</w:t>
      </w:r>
    </w:p>
    <w:p w14:paraId="65CF0E7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（4）交纳基金认购款项或认购股票、申购对价、现金差额及法律法规和《基金合同》所规定的费用；</w:t>
      </w:r>
    </w:p>
    <w:p w14:paraId="536AC88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（5）在其持有的基金份额范围内，承担基金亏损或者《基金合同》终止的有限责任；</w:t>
      </w:r>
    </w:p>
    <w:p w14:paraId="429B4F4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（6）不从事任何有损基金及其他《基金合同》当事人合法权益的活动；</w:t>
      </w:r>
    </w:p>
    <w:p w14:paraId="5B3C98F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（7）执行生效的基金份额持有人大会的决议；</w:t>
      </w:r>
    </w:p>
    <w:p w14:paraId="3EC58E4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（8）返还在基金交易过程中因任何原因获得的不当得利；</w:t>
      </w:r>
    </w:p>
    <w:p w14:paraId="3BF0235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（9）提供基金管理人和监管机构依法要求提供的信息，以及不时的更新和补充，并保证其真实性；</w:t>
      </w:r>
    </w:p>
    <w:p w14:paraId="0689A45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（10）遵守基金管理人、基金托管人、销售机构和登记机构的相关交易及业务规则；</w:t>
      </w:r>
    </w:p>
    <w:p w14:paraId="69736E1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（11）法律法规及中国证监会规定的和《基金合同》约定的其他义务。</w:t>
      </w:r>
    </w:p>
    <w:p w14:paraId="0C53F859"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14:paraId="0C6B2F7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0707FC5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58683380"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在本基金成功募集并运作之后，如基金管理人管理本基金的联接基金的：</w:t>
      </w:r>
    </w:p>
    <w:p w14:paraId="308CA18C" w14:textId="77777777" w:rsidR="001D5D72" w:rsidRDefault="008841B6">
      <w:pPr>
        <w:spacing w:line="360" w:lineRule="auto"/>
        <w:ind w:firstLine="480"/>
        <w:rPr>
          <w:rFonts w:eastAsia="Times New Roman"/>
          <w:kern w:val="0"/>
          <w:sz w:val="24"/>
          <w:szCs w:val="24"/>
        </w:rPr>
      </w:pPr>
      <w:proofErr w:type="gramStart"/>
      <w:r>
        <w:rPr>
          <w:rFonts w:ascii="宋体" w:hAnsi="宋体" w:cs="宋体"/>
          <w:kern w:val="0"/>
          <w:sz w:val="24"/>
          <w:szCs w:val="24"/>
        </w:rPr>
        <w:t>鉴于本</w:t>
      </w:r>
      <w:proofErr w:type="gramEnd"/>
      <w:r>
        <w:rPr>
          <w:rFonts w:ascii="宋体" w:hAnsi="宋体" w:cs="宋体"/>
          <w:kern w:val="0"/>
          <w:sz w:val="24"/>
          <w:szCs w:val="24"/>
        </w:rPr>
        <w:t>基金和本基金联接基金的相关性，本基金联接基金的基金份额持有人可以凭所持有的本基金联接基金的基金份额参加或者委派代表参加本基金的基金份额持有人大会并参与表决。在计算参会份额和计票时，本基金联接</w:t>
      </w:r>
      <w:proofErr w:type="gramStart"/>
      <w:r>
        <w:rPr>
          <w:rFonts w:ascii="宋体" w:hAnsi="宋体" w:cs="宋体"/>
          <w:kern w:val="0"/>
          <w:sz w:val="24"/>
          <w:szCs w:val="24"/>
        </w:rPr>
        <w:t>基金基金</w:t>
      </w:r>
      <w:proofErr w:type="gramEnd"/>
      <w:r>
        <w:rPr>
          <w:rFonts w:ascii="宋体" w:hAnsi="宋体" w:cs="宋体"/>
          <w:kern w:val="0"/>
          <w:sz w:val="24"/>
          <w:szCs w:val="24"/>
        </w:rPr>
        <w:t>份额持有人持有的享有表决权的基金份额数和表决票数为：在本</w:t>
      </w:r>
      <w:proofErr w:type="gramStart"/>
      <w:r>
        <w:rPr>
          <w:rFonts w:ascii="宋体" w:hAnsi="宋体" w:cs="宋体"/>
          <w:kern w:val="0"/>
          <w:sz w:val="24"/>
          <w:szCs w:val="24"/>
        </w:rPr>
        <w:t>基金基金</w:t>
      </w:r>
      <w:proofErr w:type="gramEnd"/>
      <w:r>
        <w:rPr>
          <w:rFonts w:ascii="宋体" w:hAnsi="宋体" w:cs="宋体"/>
          <w:kern w:val="0"/>
          <w:sz w:val="24"/>
          <w:szCs w:val="24"/>
        </w:rPr>
        <w:t>份额持有人大会的权益登记日，本基金联接基金持有本基金份额的总数乘以该基金份额持有人所持有的本基金联接基金份额占本基金联接基金总份额的比例。计算结果按照四舍五入的方法，保留到整数位。</w:t>
      </w:r>
    </w:p>
    <w:p w14:paraId="1E1E4ED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lastRenderedPageBreak/>
        <w:t>本基金联接基金的基金管理人不应以本基金联接基金的名义代表本基金联接基金的全体基金份额持有人以本基金的基金份额持有人的身份行使表决权，但可接受本基金联接基金的基金份额持有人的委托以本基金联接基金的基金份额持有人代理人的身份参加本基金的基金份额持有人大会并参与表决。</w:t>
      </w:r>
    </w:p>
    <w:p w14:paraId="0BC3D69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本基金联接基金的基金管理人代表本基金联接基金的基金份额持有人提议召开或召集本基金份额持有人大会的，须先遵照本基金联接</w:t>
      </w:r>
      <w:proofErr w:type="gramStart"/>
      <w:r>
        <w:rPr>
          <w:rFonts w:ascii="宋体" w:hAnsi="宋体" w:cs="宋体"/>
          <w:kern w:val="0"/>
          <w:sz w:val="24"/>
          <w:szCs w:val="24"/>
        </w:rPr>
        <w:t>基金基金</w:t>
      </w:r>
      <w:proofErr w:type="gramEnd"/>
      <w:r>
        <w:rPr>
          <w:rFonts w:ascii="宋体" w:hAnsi="宋体" w:cs="宋体"/>
          <w:kern w:val="0"/>
          <w:sz w:val="24"/>
          <w:szCs w:val="24"/>
        </w:rPr>
        <w:t>合同的约定召开本基金联接基金的基金份额持有人大会；本基金联接基金的基金份额持有人大会决定提议召开或召集本基金份额持有人大会的，由本基金联接基金的基金管理人代表本基金联接基金的基金份额持有人提议召开或召集本基金份额持有人大会。</w:t>
      </w:r>
    </w:p>
    <w:p w14:paraId="730D219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（一）召开事由</w:t>
      </w:r>
    </w:p>
    <w:p w14:paraId="59CDC464"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45F40EF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（1）终止《基金合同》；</w:t>
      </w:r>
    </w:p>
    <w:p w14:paraId="3EEEDD0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（2）更换基金管理人；</w:t>
      </w:r>
    </w:p>
    <w:p w14:paraId="6CA1C0A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（3）更换基金托管人；</w:t>
      </w:r>
    </w:p>
    <w:p w14:paraId="1468136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（4）转换基金运作方式；</w:t>
      </w:r>
    </w:p>
    <w:p w14:paraId="77BDC06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（5）调整基金管理人、基金托管人的报酬标准；</w:t>
      </w:r>
    </w:p>
    <w:p w14:paraId="458BACD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（6）变更基金类别；</w:t>
      </w:r>
    </w:p>
    <w:p w14:paraId="1A72007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（7）本基金与其他基金的合并；</w:t>
      </w:r>
    </w:p>
    <w:p w14:paraId="228942C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（8）变更基金投资目标、范围或策略；</w:t>
      </w:r>
    </w:p>
    <w:p w14:paraId="06D2B85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（9）变更基金份额持有人大会程序；</w:t>
      </w:r>
    </w:p>
    <w:p w14:paraId="5CF5928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（10）基金管理人或基金托管人要求召开基金份额持有人大会；</w:t>
      </w:r>
    </w:p>
    <w:p w14:paraId="5402369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73F5A6A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（12）对基金合同当事人权利和义务产生重大影响的其他事项；</w:t>
      </w:r>
    </w:p>
    <w:p w14:paraId="32086144"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（13）终止基金上市，但因基金不再具备上市条件而被深圳证券交易所终止上市的除外；</w:t>
      </w:r>
    </w:p>
    <w:p w14:paraId="0688318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lastRenderedPageBreak/>
        <w:t>（14）法律法规、《基金合同》或中国证监会规定的其他应当召开基金份额持有人大会的事项。</w:t>
      </w:r>
    </w:p>
    <w:p w14:paraId="31E0573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067DBC29"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（1）法律法规要求增加的基金费用的收取；</w:t>
      </w:r>
    </w:p>
    <w:p w14:paraId="20A81DB4"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（2）调整本基金的申购费率或变更收费方式；</w:t>
      </w:r>
    </w:p>
    <w:p w14:paraId="6C884DB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w:t>
      </w:r>
      <w:proofErr w:type="gramStart"/>
      <w:r>
        <w:rPr>
          <w:rFonts w:ascii="宋体" w:hAnsi="宋体" w:cs="宋体"/>
          <w:kern w:val="0"/>
          <w:sz w:val="24"/>
          <w:szCs w:val="24"/>
        </w:rPr>
        <w:t>因相应</w:t>
      </w:r>
      <w:proofErr w:type="gramEnd"/>
      <w:r>
        <w:rPr>
          <w:rFonts w:ascii="宋体" w:hAnsi="宋体" w:cs="宋体"/>
          <w:kern w:val="0"/>
          <w:sz w:val="24"/>
          <w:szCs w:val="24"/>
        </w:rPr>
        <w:t>的法律法规、证券交易所或登记机构相关业务规则发生变动而应当对《基金合同》进行修改；</w:t>
      </w:r>
    </w:p>
    <w:p w14:paraId="44196E3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（4）基金管理人、证券交易所和基金登记机构等调整有关基金认购、申购、赎回、</w:t>
      </w:r>
      <w:proofErr w:type="gramStart"/>
      <w:r>
        <w:rPr>
          <w:rFonts w:ascii="宋体" w:hAnsi="宋体" w:cs="宋体"/>
          <w:kern w:val="0"/>
          <w:sz w:val="24"/>
          <w:szCs w:val="24"/>
        </w:rPr>
        <w:t>非交易</w:t>
      </w:r>
      <w:proofErr w:type="gramEnd"/>
      <w:r>
        <w:rPr>
          <w:rFonts w:ascii="宋体" w:hAnsi="宋体" w:cs="宋体"/>
          <w:kern w:val="0"/>
          <w:sz w:val="24"/>
          <w:szCs w:val="24"/>
        </w:rPr>
        <w:t>过户、质押等业务规则；</w:t>
      </w:r>
    </w:p>
    <w:p w14:paraId="1EA54769"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（5）对《基金合同》的修改对基金份额持有人利益无实质性不利影响或修改不涉及《基金合同》当事人权利义务关系发生重大变化；</w:t>
      </w:r>
    </w:p>
    <w:p w14:paraId="45B1596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（6）履行适当程序后基金推出新业务或服务；</w:t>
      </w:r>
    </w:p>
    <w:p w14:paraId="3FC02248"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（7）增加、减少、调整基金份额类别设置；</w:t>
      </w:r>
    </w:p>
    <w:p w14:paraId="48EFF7C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（8）募集并管理以本基金为目标ETF的一只或多只联接基金、本基金的联接基金采取特殊申购或其他方式参与本基金的申购赎回；</w:t>
      </w:r>
    </w:p>
    <w:p w14:paraId="39015C0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（9）调整最小申购赎回单位、调整基金的申购赎回方式及申购对价、赎回对价组成；</w:t>
      </w:r>
    </w:p>
    <w:p w14:paraId="0434E82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（10）在其他证券交易所上市或开通基金的场外申购赎回、跨系统转托管等业务；</w:t>
      </w:r>
    </w:p>
    <w:p w14:paraId="3CAE7141" w14:textId="5A010F74" w:rsidR="001D5D72" w:rsidRDefault="008841B6">
      <w:pPr>
        <w:spacing w:line="360" w:lineRule="auto"/>
        <w:ind w:firstLine="480"/>
        <w:rPr>
          <w:rFonts w:eastAsia="Times New Roman"/>
          <w:kern w:val="0"/>
          <w:sz w:val="24"/>
          <w:szCs w:val="24"/>
        </w:rPr>
      </w:pPr>
      <w:r>
        <w:rPr>
          <w:rFonts w:ascii="宋体" w:hAnsi="宋体" w:cs="宋体"/>
          <w:kern w:val="0"/>
          <w:sz w:val="24"/>
          <w:szCs w:val="24"/>
        </w:rPr>
        <w:t>（11）按照法律法规和《基金合同》规定不需召开基金份额持有人大会的其他情形。</w:t>
      </w:r>
    </w:p>
    <w:p w14:paraId="0B3BACD9"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（二）会议召集人及召集方式</w:t>
      </w:r>
    </w:p>
    <w:p w14:paraId="0B62B955"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14:paraId="656CA3B4"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2、基金管理人未按规定召集或不能召集时，由基金托管人召集。</w:t>
      </w:r>
    </w:p>
    <w:p w14:paraId="13D12894"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w:t>
      </w:r>
      <w:r>
        <w:rPr>
          <w:rFonts w:ascii="宋体" w:hAnsi="宋体" w:cs="宋体"/>
          <w:kern w:val="0"/>
          <w:sz w:val="24"/>
          <w:szCs w:val="24"/>
        </w:rPr>
        <w:lastRenderedPageBreak/>
        <w:t>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A0E76B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7EDA9E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39C68DF"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52701E6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（三）召开基金份额持有人大会的通知时间、通知内容、通知方式</w:t>
      </w:r>
    </w:p>
    <w:p w14:paraId="324A7AA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6E51405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（1）会议召开的时间、地点和会议形式；</w:t>
      </w:r>
    </w:p>
    <w:p w14:paraId="3E1D853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（2）会议</w:t>
      </w:r>
      <w:proofErr w:type="gramStart"/>
      <w:r>
        <w:rPr>
          <w:rFonts w:ascii="宋体" w:hAnsi="宋体" w:cs="宋体"/>
          <w:kern w:val="0"/>
          <w:sz w:val="24"/>
          <w:szCs w:val="24"/>
        </w:rPr>
        <w:t>拟审议</w:t>
      </w:r>
      <w:proofErr w:type="gramEnd"/>
      <w:r>
        <w:rPr>
          <w:rFonts w:ascii="宋体" w:hAnsi="宋体" w:cs="宋体"/>
          <w:kern w:val="0"/>
          <w:sz w:val="24"/>
          <w:szCs w:val="24"/>
        </w:rPr>
        <w:t>的事项、议事程序和表决方式；</w:t>
      </w:r>
    </w:p>
    <w:p w14:paraId="0D8BAF4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（3）有权出席基金份额持有人大会的基金份额持有人的权益登记日；</w:t>
      </w:r>
    </w:p>
    <w:p w14:paraId="42D0D22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601BBA79"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（5）会务常设联系人姓名及联系电话；</w:t>
      </w:r>
    </w:p>
    <w:p w14:paraId="22CDA1A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lastRenderedPageBreak/>
        <w:t>（6）出席会议者必须准备的文件和必须履行的手续；</w:t>
      </w:r>
    </w:p>
    <w:p w14:paraId="45BF5A8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（7）召集人需要通知的其他事项。</w:t>
      </w:r>
    </w:p>
    <w:p w14:paraId="59001B1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41B665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kern w:val="0"/>
          <w:sz w:val="24"/>
          <w:szCs w:val="24"/>
        </w:rPr>
        <w:t>拒不派</w:t>
      </w:r>
      <w:proofErr w:type="gramEnd"/>
      <w:r>
        <w:rPr>
          <w:rFonts w:ascii="宋体" w:hAnsi="宋体" w:cs="宋体"/>
          <w:kern w:val="0"/>
          <w:sz w:val="24"/>
          <w:szCs w:val="24"/>
        </w:rPr>
        <w:t>代表对表决意见的计票进行监督的，不影响表决意见的计票效力。</w:t>
      </w:r>
    </w:p>
    <w:p w14:paraId="5A31170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（四）基金份额持有人出席会议的方式</w:t>
      </w:r>
    </w:p>
    <w:p w14:paraId="284D4D1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38928A19"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8C8C3C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90AF225"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3F85B45"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lastRenderedPageBreak/>
        <w:t>2、通讯开会。通讯开会系指基金份额持有人将其对表决事项的投票以书面形式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公告载明的其他方式在表决截止日以前送达至召集人指定的地址或系统。通讯开会应以书面方式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公告载明的其他方式进行表决。</w:t>
      </w:r>
    </w:p>
    <w:p w14:paraId="59D23A3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711002C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0E479258"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AC5EBC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45F3C2E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38A0BC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51F30A5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（五）议事内容与程序</w:t>
      </w:r>
    </w:p>
    <w:p w14:paraId="73E184A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1、议事内容及提案权</w:t>
      </w:r>
    </w:p>
    <w:p w14:paraId="2DAABF9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A8554F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3819F97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5783899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2、议事程序</w:t>
      </w:r>
    </w:p>
    <w:p w14:paraId="6C4162E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（1）现场开会</w:t>
      </w:r>
    </w:p>
    <w:p w14:paraId="237B3E7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sidR="00D44ABE">
        <w:rPr>
          <w:rFonts w:ascii="宋体" w:hAnsi="宋体" w:cs="宋体" w:hint="eastAsia"/>
          <w:kern w:val="0"/>
          <w:sz w:val="24"/>
          <w:szCs w:val="24"/>
        </w:rPr>
        <w:t>（</w:t>
      </w:r>
      <w:r>
        <w:rPr>
          <w:rFonts w:ascii="宋体" w:hAnsi="宋体" w:cs="宋体"/>
          <w:kern w:val="0"/>
          <w:sz w:val="24"/>
          <w:szCs w:val="24"/>
        </w:rPr>
        <w:t>七</w:t>
      </w:r>
      <w:r w:rsidR="00D44ABE">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kern w:val="0"/>
          <w:sz w:val="24"/>
          <w:szCs w:val="24"/>
        </w:rPr>
        <w:t>作出</w:t>
      </w:r>
      <w:proofErr w:type="gramEnd"/>
      <w:r>
        <w:rPr>
          <w:rFonts w:ascii="宋体" w:hAnsi="宋体" w:cs="宋体"/>
          <w:kern w:val="0"/>
          <w:sz w:val="24"/>
          <w:szCs w:val="24"/>
        </w:rPr>
        <w:t>的决议的效力。</w:t>
      </w:r>
    </w:p>
    <w:p w14:paraId="4A17FDE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w:t>
      </w:r>
      <w:proofErr w:type="gramStart"/>
      <w:r>
        <w:rPr>
          <w:rFonts w:ascii="宋体" w:hAnsi="宋体" w:cs="宋体"/>
          <w:kern w:val="0"/>
          <w:sz w:val="24"/>
          <w:szCs w:val="24"/>
        </w:rPr>
        <w:t>册</w:t>
      </w:r>
      <w:proofErr w:type="gramEnd"/>
      <w:r>
        <w:rPr>
          <w:rFonts w:ascii="宋体" w:hAnsi="宋体" w:cs="宋体"/>
          <w:kern w:val="0"/>
          <w:sz w:val="24"/>
          <w:szCs w:val="24"/>
        </w:rPr>
        <w:t>载明参加会议人员姓名（或单位名称）、身份证明文件号码、持有或代表有表决权的基金份额、委托人姓名（或单位名称）和联系方式等事项。</w:t>
      </w:r>
    </w:p>
    <w:p w14:paraId="1575246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（2）通讯开会</w:t>
      </w:r>
    </w:p>
    <w:p w14:paraId="4A02127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4C8BBFB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（六）表决</w:t>
      </w:r>
    </w:p>
    <w:p w14:paraId="2846B0D0"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3AF9F38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14:paraId="2200655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w:t>
      </w:r>
      <w:r>
        <w:rPr>
          <w:rFonts w:ascii="宋体" w:hAnsi="宋体" w:cs="宋体"/>
          <w:kern w:val="0"/>
          <w:sz w:val="24"/>
          <w:szCs w:val="24"/>
        </w:rPr>
        <w:lastRenderedPageBreak/>
        <w:t>特别决议通过事项以外的其他事项均以一般决议的方式通过。</w:t>
      </w:r>
    </w:p>
    <w:p w14:paraId="043BEE7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A38A98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3ACD1090"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80140B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131BEB7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（七）计票</w:t>
      </w:r>
    </w:p>
    <w:p w14:paraId="312434C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1、现场开会</w:t>
      </w:r>
    </w:p>
    <w:p w14:paraId="5509914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Pr>
          <w:rFonts w:ascii="宋体" w:hAnsi="宋体" w:cs="宋体"/>
          <w:kern w:val="0"/>
          <w:sz w:val="24"/>
          <w:szCs w:val="24"/>
        </w:rPr>
        <w:t>或大会</w:t>
      </w:r>
      <w:proofErr w:type="gramEnd"/>
      <w:r>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6B165815"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533E05E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w:t>
      </w:r>
      <w:proofErr w:type="gramStart"/>
      <w:r>
        <w:rPr>
          <w:rFonts w:ascii="宋体" w:hAnsi="宋体" w:cs="宋体"/>
          <w:kern w:val="0"/>
          <w:sz w:val="24"/>
          <w:szCs w:val="24"/>
        </w:rPr>
        <w:t>数要求</w:t>
      </w:r>
      <w:proofErr w:type="gramEnd"/>
      <w:r>
        <w:rPr>
          <w:rFonts w:ascii="宋体" w:hAnsi="宋体" w:cs="宋体"/>
          <w:kern w:val="0"/>
          <w:sz w:val="24"/>
          <w:szCs w:val="24"/>
        </w:rPr>
        <w:t>进行重新清点。监票人应当进行重新清点，重新清点以一次为限。重新清点后，大会主持人应当当场公布重新清点结果。</w:t>
      </w:r>
    </w:p>
    <w:p w14:paraId="0D764F4F"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（4）计票过程应由公证机关予以公证，基金管理人或基金托管人拒不出席</w:t>
      </w:r>
      <w:r>
        <w:rPr>
          <w:rFonts w:ascii="宋体" w:hAnsi="宋体" w:cs="宋体"/>
          <w:kern w:val="0"/>
          <w:sz w:val="24"/>
          <w:szCs w:val="24"/>
        </w:rPr>
        <w:lastRenderedPageBreak/>
        <w:t>大会的，不影响计票的效力。</w:t>
      </w:r>
    </w:p>
    <w:p w14:paraId="0ECD46F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2、通讯开会</w:t>
      </w:r>
    </w:p>
    <w:p w14:paraId="7429481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kern w:val="0"/>
          <w:sz w:val="24"/>
          <w:szCs w:val="24"/>
        </w:rPr>
        <w:t>人拒派</w:t>
      </w:r>
      <w:proofErr w:type="gramEnd"/>
      <w:r>
        <w:rPr>
          <w:rFonts w:ascii="宋体" w:hAnsi="宋体" w:cs="宋体"/>
          <w:kern w:val="0"/>
          <w:sz w:val="24"/>
          <w:szCs w:val="24"/>
        </w:rPr>
        <w:t>代表对书面表决意见的计票进行监督的，不影响计票和表决结果。</w:t>
      </w:r>
    </w:p>
    <w:p w14:paraId="6EBEFDE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（八）生效与公告</w:t>
      </w:r>
    </w:p>
    <w:p w14:paraId="301EA00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21EE90D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5837C04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6DD84FC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E78E23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（九）本部</w:t>
      </w:r>
      <w:proofErr w:type="gramStart"/>
      <w:r>
        <w:rPr>
          <w:rFonts w:ascii="宋体" w:hAnsi="宋体" w:cs="宋体"/>
          <w:kern w:val="0"/>
          <w:sz w:val="24"/>
          <w:szCs w:val="24"/>
        </w:rPr>
        <w:t>分关于</w:t>
      </w:r>
      <w:proofErr w:type="gramEnd"/>
      <w:r>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1E8BA49D"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14:paraId="6E36D0D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47F6654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52973B6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0ECF325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3DCA1AF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0D79C29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lastRenderedPageBreak/>
        <w:t>1、《基金合同》生效不满3个月可不进行收益分配；</w:t>
      </w:r>
    </w:p>
    <w:p w14:paraId="132ABF3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2、本基金收益分配采用现金分红；</w:t>
      </w:r>
    </w:p>
    <w:p w14:paraId="69F5BEA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3、每一基金份额享有同等分配权；</w:t>
      </w:r>
    </w:p>
    <w:p w14:paraId="13A0C0B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4、基金管理人可对基金相对标的指数的超额收益率和/或基金的可供分配利润进行评价，</w:t>
      </w:r>
      <w:proofErr w:type="gramStart"/>
      <w:r>
        <w:rPr>
          <w:rFonts w:ascii="宋体" w:hAnsi="宋体" w:cs="宋体"/>
          <w:kern w:val="0"/>
          <w:sz w:val="24"/>
          <w:szCs w:val="24"/>
        </w:rPr>
        <w:t>当收益评价日核定</w:t>
      </w:r>
      <w:proofErr w:type="gramEnd"/>
      <w:r>
        <w:rPr>
          <w:rFonts w:ascii="宋体" w:hAnsi="宋体" w:cs="宋体"/>
          <w:kern w:val="0"/>
          <w:sz w:val="24"/>
          <w:szCs w:val="24"/>
        </w:rPr>
        <w:t>的超额收益率或者基金可供分配利润金额大于零时，基金管理人可进行收益分配；</w:t>
      </w:r>
    </w:p>
    <w:p w14:paraId="190D624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3181048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6、法律法规或监管机构另有规定的，从其规定。</w:t>
      </w:r>
    </w:p>
    <w:p w14:paraId="3D989A9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在不违反法律法规且对基金份额持有人利益无实质性不利影响的前提下，基金管理人在与基金托管人协商一致后，经履行适当程序，可对基金收益分配原则进行调整。</w:t>
      </w:r>
    </w:p>
    <w:p w14:paraId="226F9F5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2F40E2E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基金收益分配方案中应载明截至收益分配基准日的可供分配利润（如需）、基金收益分配对象、分配时间、分配数额及比例、分配方式等内容。</w:t>
      </w:r>
    </w:p>
    <w:p w14:paraId="674DECB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337F342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32005F7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535AFA8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基金收益分配时所发生的银行转账或其他手续费用由投资者自行承担。</w:t>
      </w:r>
    </w:p>
    <w:p w14:paraId="644AAE0A"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14:paraId="2003A60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14:paraId="47051FB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2A9E08F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0BCADE0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3、《基金合同》生效后与基金相关的信息披露费用（但法律法规、中国证监会另有规定的除外）；</w:t>
      </w:r>
    </w:p>
    <w:p w14:paraId="00B3598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4、《基金合同》生效后与基金相关的会计师费、律师费、仲裁费和诉讼</w:t>
      </w:r>
      <w:r>
        <w:rPr>
          <w:rFonts w:ascii="宋体" w:hAnsi="宋体" w:cs="宋体"/>
          <w:kern w:val="0"/>
          <w:sz w:val="24"/>
          <w:szCs w:val="24"/>
        </w:rPr>
        <w:lastRenderedPageBreak/>
        <w:t>费；</w:t>
      </w:r>
    </w:p>
    <w:p w14:paraId="7B7F4ED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5、基金份额持有人大会费用；</w:t>
      </w:r>
    </w:p>
    <w:p w14:paraId="5E01498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6、基金的证券/期货/期权等交易费用；</w:t>
      </w:r>
    </w:p>
    <w:p w14:paraId="726FA6B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7、基金的银行汇划费用；</w:t>
      </w:r>
    </w:p>
    <w:p w14:paraId="405BF4C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8、基金的账户开户费用、账户维护费用；</w:t>
      </w:r>
    </w:p>
    <w:p w14:paraId="22C9592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9、基金的上市费；</w:t>
      </w:r>
    </w:p>
    <w:p w14:paraId="216EA44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10、收益分配中发生的费用、登记结算费用、IOPV计算与发布费用；</w:t>
      </w:r>
    </w:p>
    <w:p w14:paraId="2CA139F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11、按照国家有关规定和《基金合同》约定，可以在基金财产中列支的其他费用。</w:t>
      </w:r>
    </w:p>
    <w:p w14:paraId="4038BFF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14:paraId="5C28883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19FFB0D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本基金的管理费按前一日基金资产净值的0.50%年费率计提。管理费的计算方法如下：</w:t>
      </w:r>
    </w:p>
    <w:p w14:paraId="01307E7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H＝E×0.50%÷当年天数</w:t>
      </w:r>
    </w:p>
    <w:p w14:paraId="3C70DBA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H为每日应计提的基金管理费</w:t>
      </w:r>
    </w:p>
    <w:p w14:paraId="50A7342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398911C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基金管理费每日计算，逐日累计至每月月末，按月支付，由基金托管人根据与基金管理人核对一致的财务数据，自动在次月初5</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A7C46C0"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2、基金托管人的托管费</w:t>
      </w:r>
    </w:p>
    <w:p w14:paraId="6CB321D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本基金的托管费按前一日基金资产净值的0.10%的年费率计提。托管费的计算方法如下：</w:t>
      </w:r>
    </w:p>
    <w:p w14:paraId="2F25489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H＝E×0.10%÷当年天数</w:t>
      </w:r>
    </w:p>
    <w:p w14:paraId="445F61E9"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H为每日应计提的基金托管费</w:t>
      </w:r>
    </w:p>
    <w:p w14:paraId="1A3C0E4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0CFD4D9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基金托管费每日计算，逐日累计至每月月末，按月支付，由基金托管人根据与基金管理人核对一致的财务数据，自动在次月初5</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w:t>
      </w:r>
      <w:r>
        <w:rPr>
          <w:rFonts w:ascii="宋体" w:hAnsi="宋体" w:cs="宋体"/>
          <w:kern w:val="0"/>
          <w:sz w:val="24"/>
          <w:szCs w:val="24"/>
        </w:rPr>
        <w:lastRenderedPageBreak/>
        <w:t>路径进行资金支付，基金管理人无需再出具资金划拨指令。若遇法定节假日、休息日等，支付日期顺延。费用自动扣划后，基金管理人应进行核对，如发现数据不符，及时联系基金托管人协商解决。</w:t>
      </w:r>
    </w:p>
    <w:p w14:paraId="6C96FE89" w14:textId="61FBE02C"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上述“</w:t>
      </w:r>
      <w:r w:rsidR="00D44ABE">
        <w:rPr>
          <w:rFonts w:ascii="宋体" w:hAnsi="宋体" w:cs="宋体" w:hint="eastAsia"/>
          <w:kern w:val="0"/>
          <w:sz w:val="24"/>
          <w:szCs w:val="24"/>
        </w:rPr>
        <w:t>（</w:t>
      </w:r>
      <w:r>
        <w:rPr>
          <w:rFonts w:ascii="宋体" w:hAnsi="宋体" w:cs="宋体"/>
          <w:kern w:val="0"/>
          <w:sz w:val="24"/>
          <w:szCs w:val="24"/>
        </w:rPr>
        <w:t>一</w:t>
      </w:r>
      <w:r w:rsidR="00D44ABE">
        <w:rPr>
          <w:rFonts w:ascii="宋体" w:hAnsi="宋体" w:cs="宋体" w:hint="eastAsia"/>
          <w:kern w:val="0"/>
          <w:sz w:val="24"/>
          <w:szCs w:val="24"/>
        </w:rPr>
        <w:t>）</w:t>
      </w:r>
      <w:r>
        <w:rPr>
          <w:rFonts w:ascii="宋体" w:hAnsi="宋体" w:cs="宋体"/>
          <w:kern w:val="0"/>
          <w:sz w:val="24"/>
          <w:szCs w:val="24"/>
        </w:rPr>
        <w:t>基金费用的种类”中第3－11项费用，根据有关法规及相应协议规定，按费用实际支出金额列入当期费用，由基金托管人从基金财产中支付。</w:t>
      </w:r>
    </w:p>
    <w:p w14:paraId="77AFB5B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（三）不列入基金费用的项目</w:t>
      </w:r>
    </w:p>
    <w:p w14:paraId="2ADA451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下列费用不列入基金费用：</w:t>
      </w:r>
    </w:p>
    <w:p w14:paraId="1299F5C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1、基金管理人和基金托管人因未履行或未完全履行义务导致的费用支出或基金财产的损失；</w:t>
      </w:r>
    </w:p>
    <w:p w14:paraId="3775918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2、基金管理人和基金托管人处理与基金运作无关的事项发生的费用；</w:t>
      </w:r>
    </w:p>
    <w:p w14:paraId="345CCC8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3、《基金合同》生效前的相关费用；</w:t>
      </w:r>
    </w:p>
    <w:p w14:paraId="671EFA6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4、基金的指数许可使用费（该费用由基金管理人承担）；</w:t>
      </w:r>
    </w:p>
    <w:p w14:paraId="2A795DC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5、其他根据相关法律法规及中国证监会的有关规定不得列入基金费用的项目。</w:t>
      </w:r>
    </w:p>
    <w:p w14:paraId="0D1011C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（四）基金税收</w:t>
      </w:r>
    </w:p>
    <w:p w14:paraId="3C87FC9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7F287F2"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14:paraId="3E562D40"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（一）投资范围</w:t>
      </w:r>
    </w:p>
    <w:p w14:paraId="0B12BE0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本基金主要投资于标的指数成份股、备选成份股。为更好地实现投资目标，本基金可少量投资于非成份股（包括主板、创业板及其他中国证监会允许上市的股票、存托凭证）、债券（包括国债、央行票据、金融债、企业债、公司债、中期票据、短期融资</w:t>
      </w:r>
      <w:proofErr w:type="gramStart"/>
      <w:r>
        <w:rPr>
          <w:rFonts w:ascii="宋体" w:hAnsi="宋体" w:cs="宋体"/>
          <w:kern w:val="0"/>
          <w:sz w:val="24"/>
          <w:szCs w:val="24"/>
        </w:rPr>
        <w:t>券</w:t>
      </w:r>
      <w:proofErr w:type="gramEnd"/>
      <w:r>
        <w:rPr>
          <w:rFonts w:ascii="宋体" w:hAnsi="宋体" w:cs="宋体"/>
          <w:kern w:val="0"/>
          <w:sz w:val="24"/>
          <w:szCs w:val="24"/>
        </w:rPr>
        <w:t>、超短期融资</w:t>
      </w:r>
      <w:proofErr w:type="gramStart"/>
      <w:r>
        <w:rPr>
          <w:rFonts w:ascii="宋体" w:hAnsi="宋体" w:cs="宋体"/>
          <w:kern w:val="0"/>
          <w:sz w:val="24"/>
          <w:szCs w:val="24"/>
        </w:rPr>
        <w:t>券</w:t>
      </w:r>
      <w:proofErr w:type="gramEnd"/>
      <w:r>
        <w:rPr>
          <w:rFonts w:ascii="宋体" w:hAnsi="宋体" w:cs="宋体"/>
          <w:kern w:val="0"/>
          <w:sz w:val="24"/>
          <w:szCs w:val="24"/>
        </w:rPr>
        <w:t>、次级债券、政府支持债券、政府支持机构债券、地方政府债券、可交换债券、可转换债券（含分离交易可转债）及其他经中国证监会允许投资的债券）、资产支持证券、股指期货、国债期货、股票期权、债券回购、银行存款、同业存单、货币市场工具以及法律法规或中国证监会允许基金投资的其他金融工具(但须符合中国证监会相关规定)。</w:t>
      </w:r>
    </w:p>
    <w:p w14:paraId="6910DAD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lastRenderedPageBreak/>
        <w:t>本基金可根据法律法规的规定参与融资及转融通证券出借业务。</w:t>
      </w:r>
    </w:p>
    <w:p w14:paraId="46A89B8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4D63B56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基金的投资组合比例为：投资于标的指数成份股和备选成份股的比例不低于基金资产净值的90%，且不低于非现金基金资产的80%，因法律法规的规定而受限制的情形除外。</w:t>
      </w:r>
    </w:p>
    <w:p w14:paraId="05331A1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147BDC5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（二）投资限制</w:t>
      </w:r>
    </w:p>
    <w:p w14:paraId="6EC19B9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1、组合限制</w:t>
      </w:r>
    </w:p>
    <w:p w14:paraId="147C19A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基金的投资组合应遵循以下限制：</w:t>
      </w:r>
    </w:p>
    <w:p w14:paraId="77F1BF8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（1）本基金投资于标的指数成份股和备选成份股的比例不低于基金资产净值的90%，且不低于非现金基金资产的80%；</w:t>
      </w:r>
    </w:p>
    <w:p w14:paraId="104CF13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（2）本基金投资于同一原始权益人的各类资产支持证券的比例，不得超过基金资产净值的10%；</w:t>
      </w:r>
    </w:p>
    <w:p w14:paraId="72CF735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（3）本基金持有的全部资产支持证券，其市值不得超过基金资产净值的20%；</w:t>
      </w:r>
    </w:p>
    <w:p w14:paraId="1B87F98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（4）本基金持有的同一(指同一信用级别)资产支持证券的比例，不得超过该资产支持证券规模的10%；</w:t>
      </w:r>
    </w:p>
    <w:p w14:paraId="4A7CFA9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（5）本基金管理人管理的全部基金投资于同一原始权益人的各类资产支持证券，不得超过其各类资产支持证券合计规模的10%；</w:t>
      </w:r>
    </w:p>
    <w:p w14:paraId="37A5B24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（6）本基金应投资于信用级别评级为BBB以上(含BBB)的资产支持证券。基金持有资产支持证券期间，如果其信用等级下降、不再符合投资标准，应在评级报告发布之日起3个月内予以全部卖出；</w:t>
      </w:r>
    </w:p>
    <w:p w14:paraId="6AB4C4E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（7）基金财产参与股票发行申购，本基金所申报的金额不超过本基金的总资产，本基金所申报的股票数量不超过拟发行股票公司本次发行股票的总量；</w:t>
      </w:r>
    </w:p>
    <w:p w14:paraId="33F1ADF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（8）本基金参与股指期货和国债期货交易的，应当遵守下列要求：</w:t>
      </w:r>
    </w:p>
    <w:p w14:paraId="59AC192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1）本基金在任何交易日日终，持有的买入股指期货合约价值，不得超过基金资产净值的10%；持有的买入国债期货合约价值，不得超过基金资产净值的</w:t>
      </w:r>
      <w:r>
        <w:rPr>
          <w:rFonts w:ascii="宋体" w:hAnsi="宋体" w:cs="宋体"/>
          <w:kern w:val="0"/>
          <w:sz w:val="24"/>
          <w:szCs w:val="24"/>
        </w:rPr>
        <w:lastRenderedPageBreak/>
        <w:t>15%；</w:t>
      </w:r>
    </w:p>
    <w:p w14:paraId="3A4EA68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7657079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3）本基金在任何交易日日终，持有的卖出股指期货合约价值不得超过基金持有的股票总市值的20%；持有的卖出国债期货合约价值不得超过基金持有的债券总市值的30%；</w:t>
      </w:r>
    </w:p>
    <w:p w14:paraId="03CC274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14:paraId="4A0C3B7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本基金在任何交易日内交易（不包括平仓）的股指期货合约的成交金额不得超过上一交易日基金资产净值的20%；在任何交易日内交易（不包括平仓）的国债期货合约的成交金额不得超过上一交易日基金资产净值的30%；</w:t>
      </w:r>
    </w:p>
    <w:p w14:paraId="5253230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6）本基金每个交易日日终在扣除国债期货和股指期货合约需缴纳的交易保证金后，应当保持不低于交易保证金一倍的现金，其中现金不包括结算备付金、存出保证金、应收申购款等；</w:t>
      </w:r>
    </w:p>
    <w:p w14:paraId="5A7447C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（9）因未平仓的股票期权合约支付和收取的权利金总额不得超过基金资产净值的10%；开仓卖出认购股票期权的，应持有足额标的证券；开仓卖出认</w:t>
      </w:r>
      <w:proofErr w:type="gramStart"/>
      <w:r>
        <w:rPr>
          <w:rFonts w:ascii="宋体" w:hAnsi="宋体" w:cs="宋体"/>
          <w:kern w:val="0"/>
          <w:sz w:val="24"/>
          <w:szCs w:val="24"/>
        </w:rPr>
        <w:t>沽股票</w:t>
      </w:r>
      <w:proofErr w:type="gramEnd"/>
      <w:r>
        <w:rPr>
          <w:rFonts w:ascii="宋体" w:hAnsi="宋体" w:cs="宋体"/>
          <w:kern w:val="0"/>
          <w:sz w:val="24"/>
          <w:szCs w:val="24"/>
        </w:rPr>
        <w:t>期权的，应持有合约行权所需的全额现金或交易所规则认可的可冲抵期权保证金的现金等价物；未平仓的股票期权合约面值不得超过基金资产净值的20%。其中，合约面值按照行权价乘以合约乘数计算；</w:t>
      </w:r>
    </w:p>
    <w:p w14:paraId="39F2243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（10）本基金参与融资的，每个交易日日终，本基金持有的融资买入股票与其他有价证券市值之和，不得超过基金资产净值的95%；</w:t>
      </w:r>
    </w:p>
    <w:p w14:paraId="1963143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11）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w:t>
      </w:r>
      <w:r>
        <w:rPr>
          <w:rFonts w:ascii="宋体" w:hAnsi="宋体" w:cs="宋体"/>
          <w:kern w:val="0"/>
          <w:sz w:val="24"/>
          <w:szCs w:val="24"/>
        </w:rPr>
        <w:lastRenderedPageBreak/>
        <w:t>总量的30%；证券出借的平均剩余期限不得超过30天，平均剩余期限按照市值加权平均计算；</w:t>
      </w:r>
    </w:p>
    <w:p w14:paraId="090A4B9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B034EC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（13）本基金与私募类</w:t>
      </w:r>
      <w:proofErr w:type="gramStart"/>
      <w:r>
        <w:rPr>
          <w:rFonts w:ascii="宋体" w:hAnsi="宋体" w:cs="宋体"/>
          <w:kern w:val="0"/>
          <w:sz w:val="24"/>
          <w:szCs w:val="24"/>
        </w:rPr>
        <w:t>证券资管产品</w:t>
      </w:r>
      <w:proofErr w:type="gramEnd"/>
      <w:r>
        <w:rPr>
          <w:rFonts w:ascii="宋体" w:hAnsi="宋体" w:cs="宋体"/>
          <w:kern w:val="0"/>
          <w:sz w:val="24"/>
          <w:szCs w:val="24"/>
        </w:rPr>
        <w:t>及中国证监会认定的其他主体为交易对手开展逆回购交易的，可接受质押品的资质要求应当与本基金合同约定的投资范围保持一致；</w:t>
      </w:r>
    </w:p>
    <w:p w14:paraId="78F2F1F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（14）本基金资产总值不超过基金资产净值的140%；</w:t>
      </w:r>
    </w:p>
    <w:p w14:paraId="1B39E60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（15）本基金投资存托凭证的比例限制依照境内上市交易的股票执行；</w:t>
      </w:r>
    </w:p>
    <w:p w14:paraId="173B5FA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（16）法律法规及中国证监会规定的和《基金合同》约定的其他投资限制。</w:t>
      </w:r>
    </w:p>
    <w:p w14:paraId="5BD18F3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除上述第（6）、（11）、（12）、（13）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w:t>
      </w:r>
    </w:p>
    <w:p w14:paraId="116F188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因证券市场波动、证券发行人合并、基金规模变动等基金管理人之外的因素致使基金投资不符合第（11）项规定的，基金管理人不得新增出借业务。</w:t>
      </w:r>
    </w:p>
    <w:p w14:paraId="6E0BCE3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法律法规另有规定的从其规定。</w:t>
      </w:r>
    </w:p>
    <w:p w14:paraId="55F2635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EDA520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2889CAA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2、禁止行为</w:t>
      </w:r>
    </w:p>
    <w:p w14:paraId="493163E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为维护基金份额持有人的合法权益，基金财产不得用于下列投资或者活</w:t>
      </w:r>
      <w:r>
        <w:rPr>
          <w:rFonts w:ascii="宋体" w:hAnsi="宋体" w:cs="宋体"/>
          <w:kern w:val="0"/>
          <w:sz w:val="24"/>
          <w:szCs w:val="24"/>
        </w:rPr>
        <w:lastRenderedPageBreak/>
        <w:t>动：</w:t>
      </w:r>
    </w:p>
    <w:p w14:paraId="06D1937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（1）承销证券；</w:t>
      </w:r>
    </w:p>
    <w:p w14:paraId="311234B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（2）违反规定向他人贷款或者提供担保；</w:t>
      </w:r>
    </w:p>
    <w:p w14:paraId="227C073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（3）从事承担无限责任的投资；</w:t>
      </w:r>
    </w:p>
    <w:p w14:paraId="0B2DF3E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（4）买卖其他基金份额，但是法律法规或中国证监会另有规定的除外；</w:t>
      </w:r>
    </w:p>
    <w:p w14:paraId="7CF2580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（5）向其基金管理人、基金托管人出资；</w:t>
      </w:r>
    </w:p>
    <w:p w14:paraId="7827FB7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（6）从事内幕交易、操纵证券交易价格及其他不正当的证券交易活动；</w:t>
      </w:r>
    </w:p>
    <w:p w14:paraId="30E6752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（7）法律、行政法规和中国证监会规定禁止的其他活动。</w:t>
      </w:r>
    </w:p>
    <w:p w14:paraId="1429DF5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569FBF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6DF36FF8"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14:paraId="2F1B5D0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（一）估值方法</w:t>
      </w:r>
    </w:p>
    <w:p w14:paraId="47CBB605"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1、证券交易所上市的有价证券的估值</w:t>
      </w:r>
    </w:p>
    <w:p w14:paraId="6D12C2A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3C306B2"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（2）交易所上市不存在活跃市场的有价证券，采用估值技术确定公允价值。</w:t>
      </w:r>
    </w:p>
    <w:p w14:paraId="6BE495C8"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2、处于未上市期间的有价证券应区分如下情况处理：</w:t>
      </w:r>
    </w:p>
    <w:p w14:paraId="3B52FF8F"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（1）送股、转增股、配股和公开增发的新股，按估值日在证券交易所挂牌</w:t>
      </w:r>
      <w:r>
        <w:rPr>
          <w:rFonts w:ascii="宋体" w:hAnsi="宋体" w:cs="宋体"/>
          <w:kern w:val="0"/>
          <w:sz w:val="24"/>
          <w:szCs w:val="24"/>
        </w:rPr>
        <w:lastRenderedPageBreak/>
        <w:t>的同一股票的估值方法估值；该日无交易的，以最近一日的市价（收盘价）估值；</w:t>
      </w:r>
    </w:p>
    <w:p w14:paraId="7A22EBF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（2）首次公开发行未上市的股票，采用估值技术确定公允价值；</w:t>
      </w:r>
    </w:p>
    <w:p w14:paraId="28C416F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宋体"/>
          <w:kern w:val="0"/>
          <w:sz w:val="24"/>
          <w:szCs w:val="24"/>
        </w:rPr>
        <w:t>券</w:t>
      </w:r>
      <w:proofErr w:type="gramEnd"/>
      <w:r>
        <w:rPr>
          <w:rFonts w:ascii="宋体" w:hAnsi="宋体" w:cs="宋体"/>
          <w:kern w:val="0"/>
          <w:sz w:val="24"/>
          <w:szCs w:val="24"/>
        </w:rPr>
        <w:t>等流通受限股票，按监管机构或行业协会有关规定确定公允价值。</w:t>
      </w:r>
    </w:p>
    <w:p w14:paraId="05B2A5E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3、以公允价值计量的固定收益品种</w:t>
      </w:r>
    </w:p>
    <w:p w14:paraId="3192648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收益品种，选取第三方估值基准服务机构提供的相应品种当日的估值全价；</w:t>
      </w:r>
    </w:p>
    <w:p w14:paraId="58278D4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（2）对于已上市或已挂牌转让的含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收益品种，选取第三方估值基准服务机构提供的相应品种当日的唯一估值全价或推荐估值全价；</w:t>
      </w:r>
    </w:p>
    <w:p w14:paraId="006478E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97FC72F"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6091A90"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（5）对于未上市或未挂牌转让且不存在活跃市场的固定收益品种，应采用在当前情况下适用并且有足够可利用数据和其他信息支持的估值技术确定其公允价值。</w:t>
      </w:r>
    </w:p>
    <w:p w14:paraId="464CC8E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4、同一证券同时在两个或两个以上市场交易的，按证券所处的市场分别估值。</w:t>
      </w:r>
    </w:p>
    <w:p w14:paraId="0AC4F1E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0821C64"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lastRenderedPageBreak/>
        <w:t>6、本基金投资股指期货合约，一般以股指期货估值日的结算价进行估值，估值当日无结算价的，且最近交易日后经济环境未发生重大变化的，采用最近交易日结算价估值。</w:t>
      </w:r>
    </w:p>
    <w:p w14:paraId="5A87F58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7、本基金投资股票期权合约，按照法律法规、监管机构、行业协会等规定的估值方法进行估值。</w:t>
      </w:r>
    </w:p>
    <w:p w14:paraId="2CE2332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7CD1181C"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9、本基金投资存托凭证的估值核算，依照境内上市交易的股票进行。</w:t>
      </w:r>
    </w:p>
    <w:p w14:paraId="7C96EC2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44EF3385"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11、本基金可以采用第三方估值机构按照上述公允价值确定原则提供的估值价格数据。</w:t>
      </w:r>
    </w:p>
    <w:p w14:paraId="27983F92" w14:textId="0554354A" w:rsidR="001D5D72" w:rsidRDefault="008841B6">
      <w:pPr>
        <w:spacing w:line="360" w:lineRule="auto"/>
        <w:ind w:firstLine="480"/>
        <w:rPr>
          <w:rFonts w:eastAsia="Times New Roman"/>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16CB9E1B" w14:textId="24FF2A9D"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13、相关法律法规以及监管部门有强制规定的，从其规定。如有新增事项，按国家最新规定估值。</w:t>
      </w:r>
    </w:p>
    <w:p w14:paraId="1C7D320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09F4DD3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1D7099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（二）估值程序</w:t>
      </w:r>
    </w:p>
    <w:p w14:paraId="01984080"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基金份额净值是按照每个估值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14:paraId="48EF2306"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lastRenderedPageBreak/>
        <w:t>基金管理人每个估值日计算基金资产净值及基金份额净值，并按规定公告。</w:t>
      </w:r>
    </w:p>
    <w:p w14:paraId="191F83AF"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2、基金管理人</w:t>
      </w:r>
      <w:proofErr w:type="gramStart"/>
      <w:r>
        <w:rPr>
          <w:rFonts w:ascii="宋体" w:hAnsi="宋体" w:cs="宋体"/>
          <w:kern w:val="0"/>
          <w:sz w:val="24"/>
          <w:szCs w:val="24"/>
        </w:rPr>
        <w:t>应每个</w:t>
      </w:r>
      <w:proofErr w:type="gramEnd"/>
      <w:r>
        <w:rPr>
          <w:rFonts w:ascii="宋体" w:hAnsi="宋体" w:cs="宋体"/>
          <w:kern w:val="0"/>
          <w:sz w:val="24"/>
          <w:szCs w:val="24"/>
        </w:rPr>
        <w:t>估值日对基金资产估值。但基金管理人根据法律法规或本基金合同的规定暂停估值时除外。基金管理人每个估值日对基金资产估值后，将基金份额净值结果发送基金托管人，经基金托管人复核无误后，由基金管理人按约定对外公布。</w:t>
      </w:r>
    </w:p>
    <w:p w14:paraId="690BA218"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14:paraId="7E566488"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（一）《基金合同》的变更</w:t>
      </w:r>
    </w:p>
    <w:p w14:paraId="535BB23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1、变更基金合同涉及法律法规规定或本基金合同约定应经基金份额持有人大会决议通过的事项的，应召</w:t>
      </w:r>
      <w:proofErr w:type="gramStart"/>
      <w:r>
        <w:rPr>
          <w:rFonts w:ascii="宋体" w:hAnsi="宋体" w:cs="宋体"/>
          <w:kern w:val="0"/>
          <w:sz w:val="24"/>
          <w:szCs w:val="24"/>
        </w:rPr>
        <w:t>开基金</w:t>
      </w:r>
      <w:proofErr w:type="gramEnd"/>
      <w:r>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14:paraId="7FD1994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2、关于《基金合同》变更的基金份额持有人大会决议自生效后方可执行，</w:t>
      </w:r>
      <w:proofErr w:type="gramStart"/>
      <w:r>
        <w:rPr>
          <w:rFonts w:ascii="宋体" w:hAnsi="宋体" w:cs="宋体"/>
          <w:kern w:val="0"/>
          <w:sz w:val="24"/>
          <w:szCs w:val="24"/>
        </w:rPr>
        <w:t>自决议</w:t>
      </w:r>
      <w:proofErr w:type="gramEnd"/>
      <w:r>
        <w:rPr>
          <w:rFonts w:ascii="宋体" w:hAnsi="宋体" w:cs="宋体"/>
          <w:kern w:val="0"/>
          <w:sz w:val="24"/>
          <w:szCs w:val="24"/>
        </w:rPr>
        <w:t>生效后两日内在规定媒介公告。</w:t>
      </w:r>
    </w:p>
    <w:p w14:paraId="26F3730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（二）《基金合同》的终止事由</w:t>
      </w:r>
    </w:p>
    <w:p w14:paraId="64906274"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有下列情形之一的，经履行相关程序后，《基金合同》应当终止：</w:t>
      </w:r>
    </w:p>
    <w:p w14:paraId="121DDB9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1、基金份额持有人大会决定终止的；</w:t>
      </w:r>
    </w:p>
    <w:p w14:paraId="1E7E662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2、基金管理人、基金托管人职责终止，在6个月内没有新基金管理人、新基金托管人承接的；</w:t>
      </w:r>
    </w:p>
    <w:p w14:paraId="7221E3B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192B00B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4、《基金合同》约定的其他情形；</w:t>
      </w:r>
    </w:p>
    <w:p w14:paraId="21C7165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5、相关法律法规和中国证监会规定的其他情况。</w:t>
      </w:r>
    </w:p>
    <w:p w14:paraId="6DB1DC3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（三）基金财产的清算</w:t>
      </w:r>
    </w:p>
    <w:p w14:paraId="5B5A933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3CCF2982"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w:t>
      </w:r>
      <w:r>
        <w:rPr>
          <w:rFonts w:ascii="宋体" w:hAnsi="宋体" w:cs="宋体"/>
          <w:kern w:val="0"/>
          <w:sz w:val="24"/>
          <w:szCs w:val="24"/>
        </w:rPr>
        <w:lastRenderedPageBreak/>
        <w:t>会指定的人员组成。基金财产清算小组可以聘用必要的工作人员。</w:t>
      </w:r>
    </w:p>
    <w:p w14:paraId="7278295B"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06D76CB1"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4、基金财产清算程序：</w:t>
      </w:r>
    </w:p>
    <w:p w14:paraId="117173A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（1）《基金合同》终止情形出现时，由基金财产清算小组统一接管基金；</w:t>
      </w:r>
    </w:p>
    <w:p w14:paraId="486FA89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（2）对基金财产和债权债务进行清理和确认；</w:t>
      </w:r>
    </w:p>
    <w:p w14:paraId="7EA35C2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（3）对基金财产进行估值和变现；</w:t>
      </w:r>
    </w:p>
    <w:p w14:paraId="5C143ACF"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（4）制作清算报告；</w:t>
      </w:r>
    </w:p>
    <w:p w14:paraId="0F20F8D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7EF6D0D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（6）将清算报告报中国证监会备案并公告；</w:t>
      </w:r>
    </w:p>
    <w:p w14:paraId="5DB7345A"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（7）对基金剩余财产进行分配。</w:t>
      </w:r>
    </w:p>
    <w:p w14:paraId="586055F5"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02CE7C1D"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（四）清算费用</w:t>
      </w:r>
    </w:p>
    <w:p w14:paraId="467C0B6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1FCF127E"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（五）基金财产清算剩余资产的分配</w:t>
      </w:r>
    </w:p>
    <w:p w14:paraId="66053799"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7132E1E3"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（六）基金财产清算的公告</w:t>
      </w:r>
    </w:p>
    <w:p w14:paraId="4810C497"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清算过程中的有关重大事项须及时公告；基金财产清算报告</w:t>
      </w:r>
      <w:proofErr w:type="gramStart"/>
      <w:r>
        <w:rPr>
          <w:rFonts w:ascii="宋体" w:hAnsi="宋体" w:cs="宋体"/>
          <w:kern w:val="0"/>
          <w:sz w:val="24"/>
          <w:szCs w:val="24"/>
        </w:rPr>
        <w:t>经符合</w:t>
      </w:r>
      <w:proofErr w:type="gramEnd"/>
      <w:r>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652A9E6"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t>（七）基金财产清算账册及文件的保存</w:t>
      </w:r>
    </w:p>
    <w:p w14:paraId="6C4CBC9C" w14:textId="77777777" w:rsidR="001D5D72" w:rsidRDefault="008841B6">
      <w:pPr>
        <w:spacing w:line="360" w:lineRule="auto"/>
        <w:ind w:firstLine="480"/>
        <w:jc w:val="left"/>
        <w:rPr>
          <w:rFonts w:eastAsia="Times New Roman"/>
          <w:kern w:val="0"/>
          <w:sz w:val="24"/>
          <w:szCs w:val="24"/>
        </w:rPr>
      </w:pPr>
      <w:r>
        <w:rPr>
          <w:rFonts w:ascii="宋体" w:hAnsi="宋体" w:cs="宋体"/>
          <w:kern w:val="0"/>
          <w:sz w:val="24"/>
          <w:szCs w:val="24"/>
        </w:rPr>
        <w:lastRenderedPageBreak/>
        <w:t>基金财产清算账册及有关文件由基金托管人保存，保存期限按照法律法规的规定执行。</w:t>
      </w:r>
    </w:p>
    <w:p w14:paraId="56ECA7A1"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14:paraId="4FE7A82D"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用由败诉方承担。</w:t>
      </w:r>
    </w:p>
    <w:p w14:paraId="052B9447"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争议处理期间，相关各方当事人应恪守各自职责，继续忠实、勤勉、尽责地履行《基金合同》约定的义务，维护基金份额持有人的合法权益。</w:t>
      </w:r>
    </w:p>
    <w:p w14:paraId="73E417AB"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p>
    <w:p w14:paraId="106CFDF3" w14:textId="77777777" w:rsidR="001D5D72" w:rsidRDefault="008841B6">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九、基金合同的效力</w:t>
      </w:r>
    </w:p>
    <w:p w14:paraId="40570C73"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668561F4"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260BC71A"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2CE1F4C8"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7378694E"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6D6CCE91" w14:textId="77777777" w:rsidR="001D5D72" w:rsidRDefault="008841B6">
      <w:pPr>
        <w:spacing w:line="360" w:lineRule="auto"/>
        <w:ind w:firstLine="480"/>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p>
    <w:p w14:paraId="023D8CFC" w14:textId="77777777" w:rsidR="006D7D7F" w:rsidRDefault="006D7D7F">
      <w:pPr>
        <w:pStyle w:val="1"/>
        <w:spacing w:before="0" w:after="0"/>
        <w:jc w:val="center"/>
        <w:rPr>
          <w:rFonts w:ascii="Times New Roman"/>
          <w:color w:val="auto"/>
          <w:sz w:val="30"/>
        </w:rPr>
        <w:sectPr w:rsidR="006D7D7F">
          <w:footerReference w:type="default" r:id="rId12"/>
          <w:pgSz w:w="11906" w:h="16838"/>
          <w:pgMar w:top="1440" w:right="1800" w:bottom="1440" w:left="1800" w:header="851" w:footer="992" w:gutter="0"/>
          <w:pgNumType w:start="1"/>
          <w:cols w:space="720"/>
          <w:docGrid w:type="lines" w:linePitch="312"/>
        </w:sectPr>
      </w:pPr>
    </w:p>
    <w:p w14:paraId="0E566037" w14:textId="77777777" w:rsidR="006D7D7F" w:rsidRDefault="008841B6">
      <w:pPr>
        <w:autoSpaceDE w:val="0"/>
        <w:autoSpaceDN w:val="0"/>
        <w:adjustRightInd w:val="0"/>
        <w:spacing w:line="360" w:lineRule="auto"/>
        <w:jc w:val="left"/>
        <w:rPr>
          <w:bCs/>
          <w:sz w:val="24"/>
        </w:rPr>
      </w:pPr>
      <w:r>
        <w:rPr>
          <w:rFonts w:ascii="宋体" w:hAnsi="宋体" w:hint="eastAsia"/>
          <w:sz w:val="24"/>
        </w:rPr>
        <w:lastRenderedPageBreak/>
        <w:t>本页无正文，为《</w:t>
      </w:r>
      <w:r>
        <w:rPr>
          <w:rFonts w:ascii="宋体" w:hAnsi="宋体"/>
          <w:sz w:val="24"/>
        </w:rPr>
        <w:t>汇添富国证价值100交易型开放式指数证券投资基金</w:t>
      </w:r>
      <w:r>
        <w:rPr>
          <w:rFonts w:ascii="宋体" w:hAnsi="宋体" w:hint="eastAsia"/>
          <w:sz w:val="24"/>
        </w:rPr>
        <w:t>基金合同》签字盖章页</w:t>
      </w:r>
    </w:p>
    <w:p w14:paraId="22B5C818" w14:textId="77777777" w:rsidR="006D7D7F" w:rsidRDefault="006D7D7F">
      <w:pPr>
        <w:autoSpaceDE w:val="0"/>
        <w:autoSpaceDN w:val="0"/>
        <w:spacing w:line="360" w:lineRule="auto"/>
        <w:ind w:firstLine="425"/>
        <w:textAlignment w:val="bottom"/>
        <w:rPr>
          <w:rFonts w:ascii="宋体" w:hAnsi="宋体"/>
          <w:sz w:val="24"/>
        </w:rPr>
      </w:pPr>
    </w:p>
    <w:p w14:paraId="32CA0E58" w14:textId="77777777" w:rsidR="006D7D7F" w:rsidRDefault="006D7D7F">
      <w:pPr>
        <w:autoSpaceDE w:val="0"/>
        <w:autoSpaceDN w:val="0"/>
        <w:spacing w:line="360" w:lineRule="auto"/>
        <w:ind w:firstLine="425"/>
        <w:textAlignment w:val="bottom"/>
        <w:rPr>
          <w:rFonts w:ascii="宋体" w:hAnsi="宋体"/>
          <w:sz w:val="24"/>
        </w:rPr>
      </w:pPr>
    </w:p>
    <w:p w14:paraId="0C9526B4" w14:textId="77777777" w:rsidR="006D7D7F" w:rsidRDefault="006D7D7F">
      <w:pPr>
        <w:spacing w:line="360" w:lineRule="auto"/>
        <w:ind w:right="26"/>
        <w:rPr>
          <w:rFonts w:ascii="宋体" w:hAnsi="宋体"/>
          <w:sz w:val="24"/>
        </w:rPr>
      </w:pPr>
    </w:p>
    <w:p w14:paraId="50FA8DF9" w14:textId="77777777" w:rsidR="006D7D7F" w:rsidRDefault="008841B6">
      <w:pPr>
        <w:spacing w:line="360" w:lineRule="auto"/>
        <w:ind w:right="26"/>
        <w:rPr>
          <w:rFonts w:ascii="宋体" w:hAnsi="宋体"/>
          <w:b/>
          <w:sz w:val="24"/>
        </w:rPr>
      </w:pPr>
      <w:r>
        <w:rPr>
          <w:rFonts w:ascii="宋体" w:hAnsi="宋体" w:hint="eastAsia"/>
          <w:b/>
          <w:sz w:val="24"/>
        </w:rPr>
        <w:t>基金管理人：</w:t>
      </w:r>
      <w:proofErr w:type="gramStart"/>
      <w:r>
        <w:rPr>
          <w:rFonts w:ascii="宋体" w:hAnsi="宋体"/>
          <w:b/>
          <w:sz w:val="24"/>
        </w:rPr>
        <w:t>汇添富基金</w:t>
      </w:r>
      <w:proofErr w:type="gramEnd"/>
      <w:r>
        <w:rPr>
          <w:rFonts w:ascii="宋体" w:hAnsi="宋体"/>
          <w:b/>
          <w:sz w:val="24"/>
        </w:rPr>
        <w:t>管理股份有限公司</w:t>
      </w:r>
      <w:r>
        <w:rPr>
          <w:rFonts w:ascii="宋体" w:hAnsi="宋体" w:hint="eastAsia"/>
          <w:b/>
          <w:sz w:val="24"/>
        </w:rPr>
        <w:t>（公章）</w:t>
      </w:r>
    </w:p>
    <w:p w14:paraId="37256758" w14:textId="77777777" w:rsidR="006D7D7F" w:rsidRDefault="006D7D7F">
      <w:pPr>
        <w:spacing w:line="360" w:lineRule="auto"/>
        <w:ind w:right="26"/>
        <w:rPr>
          <w:rFonts w:ascii="宋体" w:hAnsi="宋体"/>
          <w:b/>
          <w:sz w:val="24"/>
        </w:rPr>
      </w:pPr>
    </w:p>
    <w:p w14:paraId="30FA654D" w14:textId="77777777" w:rsidR="006D7D7F" w:rsidRDefault="006D7D7F">
      <w:pPr>
        <w:spacing w:line="360" w:lineRule="auto"/>
        <w:ind w:right="26"/>
        <w:rPr>
          <w:rFonts w:ascii="宋体" w:hAnsi="宋体"/>
          <w:b/>
          <w:sz w:val="24"/>
        </w:rPr>
      </w:pPr>
    </w:p>
    <w:p w14:paraId="110CF5A5" w14:textId="77777777" w:rsidR="006D7D7F" w:rsidRDefault="006D7D7F">
      <w:pPr>
        <w:spacing w:line="360" w:lineRule="auto"/>
        <w:ind w:right="26"/>
        <w:rPr>
          <w:rFonts w:ascii="宋体" w:hAnsi="宋体"/>
          <w:b/>
          <w:sz w:val="24"/>
        </w:rPr>
      </w:pPr>
    </w:p>
    <w:p w14:paraId="39387709" w14:textId="77777777" w:rsidR="006D7D7F" w:rsidRDefault="008841B6">
      <w:pPr>
        <w:spacing w:line="360" w:lineRule="auto"/>
        <w:ind w:right="26"/>
        <w:rPr>
          <w:rFonts w:ascii="宋体" w:hAnsi="宋体"/>
          <w:b/>
          <w:sz w:val="24"/>
        </w:rPr>
      </w:pPr>
      <w:r>
        <w:rPr>
          <w:rFonts w:ascii="宋体" w:hAnsi="宋体" w:hint="eastAsia"/>
          <w:b/>
          <w:sz w:val="24"/>
        </w:rPr>
        <w:t>法定代表人或授权代表：            （签字或</w:t>
      </w:r>
      <w:r>
        <w:rPr>
          <w:rFonts w:ascii="宋体" w:hAnsi="宋体"/>
          <w:b/>
          <w:sz w:val="24"/>
        </w:rPr>
        <w:t>盖章</w:t>
      </w:r>
      <w:r>
        <w:rPr>
          <w:rFonts w:ascii="宋体" w:hAnsi="宋体" w:hint="eastAsia"/>
          <w:b/>
          <w:sz w:val="24"/>
        </w:rPr>
        <w:t>）</w:t>
      </w:r>
    </w:p>
    <w:p w14:paraId="463B61AC" w14:textId="77777777" w:rsidR="006D7D7F" w:rsidRDefault="006D7D7F">
      <w:pPr>
        <w:spacing w:line="360" w:lineRule="auto"/>
        <w:ind w:right="26"/>
        <w:rPr>
          <w:rFonts w:ascii="宋体" w:hAnsi="宋体"/>
          <w:b/>
          <w:sz w:val="24"/>
        </w:rPr>
      </w:pPr>
    </w:p>
    <w:p w14:paraId="6F1ECF4F" w14:textId="77777777" w:rsidR="006D7D7F" w:rsidRDefault="006D7D7F">
      <w:pPr>
        <w:spacing w:line="360" w:lineRule="auto"/>
        <w:ind w:right="26"/>
        <w:rPr>
          <w:rFonts w:ascii="宋体" w:hAnsi="宋体"/>
          <w:b/>
          <w:sz w:val="24"/>
        </w:rPr>
      </w:pPr>
    </w:p>
    <w:p w14:paraId="0C040303" w14:textId="77777777" w:rsidR="006D7D7F" w:rsidRDefault="006D7D7F">
      <w:pPr>
        <w:spacing w:line="360" w:lineRule="auto"/>
        <w:ind w:right="26"/>
        <w:rPr>
          <w:rFonts w:ascii="宋体" w:hAnsi="宋体"/>
          <w:b/>
          <w:sz w:val="24"/>
        </w:rPr>
      </w:pPr>
    </w:p>
    <w:p w14:paraId="10F44091" w14:textId="77777777" w:rsidR="006D7D7F" w:rsidRDefault="006D7D7F">
      <w:pPr>
        <w:spacing w:line="360" w:lineRule="auto"/>
        <w:ind w:right="26"/>
        <w:rPr>
          <w:rFonts w:ascii="宋体" w:hAnsi="宋体"/>
          <w:b/>
          <w:sz w:val="24"/>
        </w:rPr>
      </w:pPr>
    </w:p>
    <w:p w14:paraId="055DB02E" w14:textId="77777777" w:rsidR="006D7D7F" w:rsidRDefault="006D7D7F">
      <w:pPr>
        <w:spacing w:line="360" w:lineRule="auto"/>
        <w:ind w:right="26"/>
        <w:rPr>
          <w:rFonts w:ascii="宋体" w:hAnsi="宋体"/>
          <w:b/>
          <w:sz w:val="24"/>
        </w:rPr>
      </w:pPr>
    </w:p>
    <w:p w14:paraId="763C7C58" w14:textId="77777777" w:rsidR="006D7D7F" w:rsidRDefault="008841B6">
      <w:pPr>
        <w:spacing w:line="360" w:lineRule="auto"/>
        <w:ind w:right="26"/>
        <w:rPr>
          <w:rFonts w:ascii="宋体" w:hAnsi="宋体"/>
          <w:b/>
          <w:sz w:val="24"/>
        </w:rPr>
      </w:pPr>
      <w:r>
        <w:rPr>
          <w:rFonts w:ascii="宋体" w:hAnsi="宋体" w:hint="eastAsia"/>
          <w:b/>
          <w:sz w:val="24"/>
        </w:rPr>
        <w:t>基金托管人：</w:t>
      </w:r>
      <w:r>
        <w:rPr>
          <w:rFonts w:ascii="宋体" w:hAnsi="宋体"/>
          <w:b/>
          <w:sz w:val="24"/>
        </w:rPr>
        <w:t>中国建设银行股份有限公司</w:t>
      </w:r>
      <w:r>
        <w:rPr>
          <w:rFonts w:ascii="宋体" w:hAnsi="宋体" w:hint="eastAsia"/>
          <w:b/>
          <w:sz w:val="24"/>
        </w:rPr>
        <w:t>（公章或合同专用章）</w:t>
      </w:r>
    </w:p>
    <w:p w14:paraId="097B3F8C" w14:textId="77777777" w:rsidR="006D7D7F" w:rsidRDefault="006D7D7F">
      <w:pPr>
        <w:spacing w:line="360" w:lineRule="auto"/>
        <w:ind w:right="26"/>
        <w:rPr>
          <w:rFonts w:ascii="宋体" w:hAnsi="宋体"/>
          <w:b/>
          <w:sz w:val="24"/>
        </w:rPr>
      </w:pPr>
    </w:p>
    <w:p w14:paraId="58418FD6" w14:textId="77777777" w:rsidR="006D7D7F" w:rsidRDefault="006D7D7F">
      <w:pPr>
        <w:spacing w:line="360" w:lineRule="auto"/>
        <w:ind w:right="26"/>
        <w:rPr>
          <w:rFonts w:ascii="宋体" w:hAnsi="宋体"/>
          <w:b/>
          <w:sz w:val="24"/>
        </w:rPr>
      </w:pPr>
    </w:p>
    <w:p w14:paraId="6637E480" w14:textId="77777777" w:rsidR="006D7D7F" w:rsidRDefault="006D7D7F">
      <w:pPr>
        <w:spacing w:line="360" w:lineRule="auto"/>
        <w:ind w:right="26"/>
        <w:rPr>
          <w:rFonts w:ascii="宋体" w:hAnsi="宋体"/>
          <w:b/>
          <w:sz w:val="24"/>
        </w:rPr>
      </w:pPr>
    </w:p>
    <w:p w14:paraId="0945E196" w14:textId="77777777" w:rsidR="006D7D7F" w:rsidRDefault="008841B6">
      <w:pPr>
        <w:spacing w:line="360" w:lineRule="auto"/>
        <w:ind w:right="26"/>
        <w:rPr>
          <w:rFonts w:ascii="宋体" w:hAnsi="宋体"/>
          <w:b/>
          <w:sz w:val="24"/>
        </w:rPr>
      </w:pPr>
      <w:r>
        <w:rPr>
          <w:rFonts w:ascii="宋体" w:hAnsi="宋体" w:hint="eastAsia"/>
          <w:b/>
          <w:sz w:val="24"/>
        </w:rPr>
        <w:t>法定代表人或授权代表：            （签字或盖章）</w:t>
      </w:r>
    </w:p>
    <w:p w14:paraId="58EBFE39" w14:textId="77777777" w:rsidR="006D7D7F" w:rsidRDefault="006D7D7F">
      <w:pPr>
        <w:spacing w:line="360" w:lineRule="auto"/>
        <w:ind w:right="26"/>
        <w:rPr>
          <w:rFonts w:ascii="宋体" w:hAnsi="宋体"/>
          <w:b/>
          <w:sz w:val="24"/>
        </w:rPr>
      </w:pPr>
    </w:p>
    <w:p w14:paraId="7084BC87" w14:textId="77777777" w:rsidR="006D7D7F" w:rsidRDefault="006D7D7F">
      <w:pPr>
        <w:spacing w:line="360" w:lineRule="auto"/>
        <w:ind w:right="26"/>
        <w:rPr>
          <w:rFonts w:ascii="宋体" w:hAnsi="宋体"/>
          <w:b/>
          <w:sz w:val="24"/>
        </w:rPr>
      </w:pPr>
    </w:p>
    <w:p w14:paraId="2F416F7F" w14:textId="77777777" w:rsidR="006D7D7F" w:rsidRDefault="006D7D7F">
      <w:pPr>
        <w:spacing w:line="360" w:lineRule="auto"/>
        <w:ind w:right="26"/>
        <w:rPr>
          <w:rFonts w:ascii="宋体" w:hAnsi="宋体"/>
          <w:b/>
          <w:sz w:val="24"/>
        </w:rPr>
      </w:pPr>
    </w:p>
    <w:p w14:paraId="7C5F16B4" w14:textId="77777777" w:rsidR="006D7D7F" w:rsidRDefault="006D7D7F">
      <w:pPr>
        <w:spacing w:line="360" w:lineRule="auto"/>
        <w:ind w:right="26"/>
        <w:rPr>
          <w:rFonts w:ascii="宋体" w:hAnsi="宋体"/>
          <w:b/>
          <w:sz w:val="24"/>
        </w:rPr>
      </w:pPr>
    </w:p>
    <w:p w14:paraId="66F6E0BD" w14:textId="77777777" w:rsidR="006D7D7F" w:rsidRDefault="006D7D7F">
      <w:pPr>
        <w:spacing w:line="360" w:lineRule="auto"/>
        <w:ind w:right="26"/>
        <w:rPr>
          <w:rFonts w:ascii="宋体" w:hAnsi="宋体"/>
          <w:b/>
          <w:sz w:val="24"/>
        </w:rPr>
      </w:pPr>
    </w:p>
    <w:p w14:paraId="28189B7D" w14:textId="77777777" w:rsidR="006D7D7F" w:rsidRDefault="006D7D7F">
      <w:pPr>
        <w:spacing w:line="360" w:lineRule="auto"/>
        <w:ind w:right="26"/>
        <w:rPr>
          <w:rFonts w:ascii="宋体" w:hAnsi="宋体"/>
          <w:b/>
          <w:sz w:val="24"/>
        </w:rPr>
      </w:pPr>
    </w:p>
    <w:p w14:paraId="5311C24E" w14:textId="77777777" w:rsidR="006D7D7F" w:rsidRDefault="008841B6">
      <w:pPr>
        <w:spacing w:line="360" w:lineRule="auto"/>
        <w:ind w:right="26"/>
        <w:rPr>
          <w:rFonts w:ascii="宋体" w:hAnsi="宋体"/>
          <w:b/>
          <w:sz w:val="24"/>
        </w:rPr>
      </w:pPr>
      <w:r>
        <w:rPr>
          <w:rFonts w:ascii="宋体" w:hAnsi="宋体" w:hint="eastAsia"/>
          <w:b/>
          <w:sz w:val="24"/>
        </w:rPr>
        <w:t>签订地点：</w:t>
      </w:r>
    </w:p>
    <w:p w14:paraId="6B581781" w14:textId="77777777" w:rsidR="006D7D7F" w:rsidRDefault="008841B6">
      <w:pPr>
        <w:autoSpaceDE w:val="0"/>
        <w:autoSpaceDN w:val="0"/>
        <w:adjustRightInd w:val="0"/>
        <w:spacing w:line="360" w:lineRule="auto"/>
        <w:jc w:val="left"/>
        <w:rPr>
          <w:bCs/>
        </w:rPr>
      </w:pPr>
      <w:r>
        <w:rPr>
          <w:rFonts w:ascii="宋体" w:hAnsi="宋体" w:hint="eastAsia"/>
          <w:b/>
          <w:sz w:val="24"/>
        </w:rPr>
        <w:t>签 订 日：</w:t>
      </w:r>
      <w:r>
        <w:rPr>
          <w:rFonts w:ascii="宋体" w:hAnsi="宋体"/>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p>
    <w:sectPr w:rsidR="006D7D7F">
      <w:headerReference w:type="default" r:id="rId13"/>
      <w:footerReference w:type="default" r:id="rId14"/>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8EC4FF" w16cid:durableId="2D594EC3"/>
  <w16cid:commentId w16cid:paraId="12284CCC" w16cid:durableId="2D594F08"/>
  <w16cid:commentId w16cid:paraId="3D6F6ED8" w16cid:durableId="2D59502E"/>
  <w16cid:commentId w16cid:paraId="2CEA1800" w16cid:durableId="2D5951B9"/>
  <w16cid:commentId w16cid:paraId="02E075F7" w16cid:durableId="2D5980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50709" w14:textId="77777777" w:rsidR="00766B00" w:rsidRDefault="00766B00">
      <w:r>
        <w:separator/>
      </w:r>
    </w:p>
  </w:endnote>
  <w:endnote w:type="continuationSeparator" w:id="0">
    <w:p w14:paraId="53D1BE43" w14:textId="77777777" w:rsidR="00766B00" w:rsidRDefault="0076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AC6A1" w14:textId="77777777" w:rsidR="00D36E64" w:rsidRDefault="00D36E64">
    <w:pPr>
      <w:pStyle w:val="ab"/>
      <w:jc w:val="center"/>
      <w:rPr>
        <w:color w:val="000000" w:themeColor="text1"/>
        <w14:shadow w14:blurRad="38100" w14:dist="19050" w14:dir="2700000" w14:sx="100000" w14:sy="100000" w14:kx="0" w14:ky="0" w14:algn="tl">
          <w14:schemeClr w14:val="dk1">
            <w14:alpha w14:val="60000"/>
          </w14:schemeClr>
        </w14:shadow>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052550"/>
    </w:sdtPr>
    <w:sdtEndPr/>
    <w:sdtContent>
      <w:p w14:paraId="168A9E0E" w14:textId="1995143F" w:rsidR="00D36E64" w:rsidRDefault="00D36E64">
        <w:pPr>
          <w:pStyle w:val="ab"/>
          <w:jc w:val="center"/>
        </w:pPr>
        <w:r>
          <w:fldChar w:fldCharType="begin"/>
        </w:r>
        <w:r>
          <w:instrText>PAGE   \* MERGEFORMAT</w:instrText>
        </w:r>
        <w:r>
          <w:fldChar w:fldCharType="separate"/>
        </w:r>
        <w:r w:rsidR="002C65C7" w:rsidRPr="002C65C7">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283410"/>
    </w:sdtPr>
    <w:sdtEndPr/>
    <w:sdtContent>
      <w:p w14:paraId="0FB933CB" w14:textId="4E4E5DF2" w:rsidR="00D36E64" w:rsidRDefault="00D36E64">
        <w:pPr>
          <w:pStyle w:val="ab"/>
          <w:jc w:val="center"/>
        </w:pPr>
        <w:r>
          <w:fldChar w:fldCharType="begin"/>
        </w:r>
        <w:r>
          <w:instrText>PAGE   \* MERGEFORMAT</w:instrText>
        </w:r>
        <w:r>
          <w:fldChar w:fldCharType="separate"/>
        </w:r>
        <w:r w:rsidR="002C65C7" w:rsidRPr="002C65C7">
          <w:rPr>
            <w:noProof/>
            <w:lang w:val="zh-CN"/>
          </w:rPr>
          <w:t>1</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77DEB" w14:textId="77777777" w:rsidR="00D36E64" w:rsidRDefault="00D36E64">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2BF5B" w14:textId="77777777" w:rsidR="00766B00" w:rsidRDefault="00766B00">
      <w:r>
        <w:separator/>
      </w:r>
    </w:p>
  </w:footnote>
  <w:footnote w:type="continuationSeparator" w:id="0">
    <w:p w14:paraId="7CFB77AD" w14:textId="77777777" w:rsidR="00766B00" w:rsidRDefault="00766B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B78B" w14:textId="44E4CFF2" w:rsidR="00D36E64" w:rsidRDefault="00D36E64">
    <w:pPr>
      <w:pStyle w:val="ad"/>
      <w:tabs>
        <w:tab w:val="clear" w:pos="4153"/>
      </w:tabs>
      <w:jc w:val="left"/>
    </w:pPr>
    <w:proofErr w:type="gramStart"/>
    <w:r>
      <w:t>汇添富国证价值</w:t>
    </w:r>
    <w:proofErr w:type="gramEnd"/>
    <w:r>
      <w:t>100</w:t>
    </w:r>
    <w:r>
      <w:t>交易型开放式指数证券投资基金</w:t>
    </w:r>
    <w:r>
      <w:tab/>
    </w:r>
    <w:r>
      <w:t>基金合同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1049F" w14:textId="77777777" w:rsidR="00D36E64" w:rsidRDefault="00D36E64">
    <w:pPr>
      <w:pStyle w:val="ad"/>
      <w:tabs>
        <w:tab w:val="clear" w:pos="4153"/>
      </w:tabs>
      <w:jc w:val="left"/>
    </w:pPr>
    <w:proofErr w:type="gramStart"/>
    <w:r>
      <w:t>汇添富国证价值</w:t>
    </w:r>
    <w:proofErr w:type="gramEnd"/>
    <w:r>
      <w:t>100</w:t>
    </w:r>
    <w:r>
      <w:t>交易型开放式指数证券投资基金</w:t>
    </w:r>
    <w:r>
      <w:tab/>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2E0"/>
    <w:rsid w:val="00004542"/>
    <w:rsid w:val="00005398"/>
    <w:rsid w:val="00007386"/>
    <w:rsid w:val="00011FA0"/>
    <w:rsid w:val="00014CA0"/>
    <w:rsid w:val="000150FF"/>
    <w:rsid w:val="000155E7"/>
    <w:rsid w:val="0001599A"/>
    <w:rsid w:val="000159FE"/>
    <w:rsid w:val="00015B61"/>
    <w:rsid w:val="00016D49"/>
    <w:rsid w:val="00016DFA"/>
    <w:rsid w:val="00017365"/>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466DC"/>
    <w:rsid w:val="0005235A"/>
    <w:rsid w:val="00052B4D"/>
    <w:rsid w:val="00055194"/>
    <w:rsid w:val="00056035"/>
    <w:rsid w:val="00056089"/>
    <w:rsid w:val="00056B5C"/>
    <w:rsid w:val="0005789D"/>
    <w:rsid w:val="0006098B"/>
    <w:rsid w:val="000639F0"/>
    <w:rsid w:val="0006588B"/>
    <w:rsid w:val="000658E8"/>
    <w:rsid w:val="00067658"/>
    <w:rsid w:val="000700C4"/>
    <w:rsid w:val="000724E0"/>
    <w:rsid w:val="00072899"/>
    <w:rsid w:val="0007536D"/>
    <w:rsid w:val="00080338"/>
    <w:rsid w:val="0008313D"/>
    <w:rsid w:val="00085549"/>
    <w:rsid w:val="00085738"/>
    <w:rsid w:val="0008618A"/>
    <w:rsid w:val="00087617"/>
    <w:rsid w:val="00087C1C"/>
    <w:rsid w:val="00090C27"/>
    <w:rsid w:val="00093C4F"/>
    <w:rsid w:val="00093E3D"/>
    <w:rsid w:val="000946A7"/>
    <w:rsid w:val="00094E37"/>
    <w:rsid w:val="000A0044"/>
    <w:rsid w:val="000A4208"/>
    <w:rsid w:val="000A5432"/>
    <w:rsid w:val="000A5CA1"/>
    <w:rsid w:val="000A62B2"/>
    <w:rsid w:val="000B0373"/>
    <w:rsid w:val="000B11F0"/>
    <w:rsid w:val="000B2B5D"/>
    <w:rsid w:val="000B2D11"/>
    <w:rsid w:val="000B2E1D"/>
    <w:rsid w:val="000B3A83"/>
    <w:rsid w:val="000B4B44"/>
    <w:rsid w:val="000B7698"/>
    <w:rsid w:val="000C24FA"/>
    <w:rsid w:val="000C3747"/>
    <w:rsid w:val="000C511B"/>
    <w:rsid w:val="000C7015"/>
    <w:rsid w:val="000C718F"/>
    <w:rsid w:val="000C7F98"/>
    <w:rsid w:val="000D214C"/>
    <w:rsid w:val="000D5B88"/>
    <w:rsid w:val="000E01C9"/>
    <w:rsid w:val="000E1B21"/>
    <w:rsid w:val="000E379A"/>
    <w:rsid w:val="000E46DC"/>
    <w:rsid w:val="000E7118"/>
    <w:rsid w:val="000F1390"/>
    <w:rsid w:val="000F2D8B"/>
    <w:rsid w:val="000F2E2A"/>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49D5"/>
    <w:rsid w:val="00137FA4"/>
    <w:rsid w:val="00140152"/>
    <w:rsid w:val="00141EF4"/>
    <w:rsid w:val="001514B8"/>
    <w:rsid w:val="001522C5"/>
    <w:rsid w:val="001531D8"/>
    <w:rsid w:val="00153D01"/>
    <w:rsid w:val="00153E62"/>
    <w:rsid w:val="00154395"/>
    <w:rsid w:val="00154557"/>
    <w:rsid w:val="00155AF9"/>
    <w:rsid w:val="00156A25"/>
    <w:rsid w:val="00157A3D"/>
    <w:rsid w:val="00163549"/>
    <w:rsid w:val="00164D53"/>
    <w:rsid w:val="00171C27"/>
    <w:rsid w:val="00172A27"/>
    <w:rsid w:val="0017353E"/>
    <w:rsid w:val="00174D1A"/>
    <w:rsid w:val="00174F19"/>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255B"/>
    <w:rsid w:val="001A3218"/>
    <w:rsid w:val="001A4100"/>
    <w:rsid w:val="001A7E11"/>
    <w:rsid w:val="001B0ACB"/>
    <w:rsid w:val="001B1027"/>
    <w:rsid w:val="001B23B7"/>
    <w:rsid w:val="001B28B8"/>
    <w:rsid w:val="001B3121"/>
    <w:rsid w:val="001B325B"/>
    <w:rsid w:val="001B6BAC"/>
    <w:rsid w:val="001C101B"/>
    <w:rsid w:val="001C1B8F"/>
    <w:rsid w:val="001C221E"/>
    <w:rsid w:val="001C3D55"/>
    <w:rsid w:val="001C4009"/>
    <w:rsid w:val="001C5537"/>
    <w:rsid w:val="001C6856"/>
    <w:rsid w:val="001C6D6A"/>
    <w:rsid w:val="001C7B68"/>
    <w:rsid w:val="001D57AF"/>
    <w:rsid w:val="001D5D72"/>
    <w:rsid w:val="001D6AAB"/>
    <w:rsid w:val="001E094C"/>
    <w:rsid w:val="001E0FF2"/>
    <w:rsid w:val="001E2C2E"/>
    <w:rsid w:val="001E505C"/>
    <w:rsid w:val="001E5A8A"/>
    <w:rsid w:val="001E5F81"/>
    <w:rsid w:val="001E5F9D"/>
    <w:rsid w:val="001F0926"/>
    <w:rsid w:val="001F0940"/>
    <w:rsid w:val="001F13BD"/>
    <w:rsid w:val="001F4B18"/>
    <w:rsid w:val="001F50E1"/>
    <w:rsid w:val="00204621"/>
    <w:rsid w:val="002048B2"/>
    <w:rsid w:val="00206016"/>
    <w:rsid w:val="00210EF2"/>
    <w:rsid w:val="0021375B"/>
    <w:rsid w:val="002172E3"/>
    <w:rsid w:val="002178D8"/>
    <w:rsid w:val="0022040F"/>
    <w:rsid w:val="00220C80"/>
    <w:rsid w:val="00222562"/>
    <w:rsid w:val="00222DE4"/>
    <w:rsid w:val="002254B5"/>
    <w:rsid w:val="002256A5"/>
    <w:rsid w:val="00226C42"/>
    <w:rsid w:val="0022787F"/>
    <w:rsid w:val="002306FB"/>
    <w:rsid w:val="00232C19"/>
    <w:rsid w:val="00236F6C"/>
    <w:rsid w:val="00244337"/>
    <w:rsid w:val="0024488F"/>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87487"/>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65C7"/>
    <w:rsid w:val="002C7792"/>
    <w:rsid w:val="002C7A62"/>
    <w:rsid w:val="002D0887"/>
    <w:rsid w:val="002D179A"/>
    <w:rsid w:val="002E0E13"/>
    <w:rsid w:val="002E3842"/>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1FC3"/>
    <w:rsid w:val="00343C18"/>
    <w:rsid w:val="00343C28"/>
    <w:rsid w:val="00351F38"/>
    <w:rsid w:val="003528FF"/>
    <w:rsid w:val="00352A25"/>
    <w:rsid w:val="00353D96"/>
    <w:rsid w:val="00357A08"/>
    <w:rsid w:val="0036095B"/>
    <w:rsid w:val="003610DF"/>
    <w:rsid w:val="00361178"/>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2E79"/>
    <w:rsid w:val="003A4187"/>
    <w:rsid w:val="003A4239"/>
    <w:rsid w:val="003A7966"/>
    <w:rsid w:val="003B1DF6"/>
    <w:rsid w:val="003B46E8"/>
    <w:rsid w:val="003B6E3D"/>
    <w:rsid w:val="003C19BF"/>
    <w:rsid w:val="003C4530"/>
    <w:rsid w:val="003C456B"/>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0016"/>
    <w:rsid w:val="003F3253"/>
    <w:rsid w:val="003F33E0"/>
    <w:rsid w:val="003F47B0"/>
    <w:rsid w:val="003F485F"/>
    <w:rsid w:val="003F4C16"/>
    <w:rsid w:val="00402AB0"/>
    <w:rsid w:val="004030CE"/>
    <w:rsid w:val="004071F3"/>
    <w:rsid w:val="00412396"/>
    <w:rsid w:val="00415036"/>
    <w:rsid w:val="00416341"/>
    <w:rsid w:val="004172EF"/>
    <w:rsid w:val="00421136"/>
    <w:rsid w:val="00424437"/>
    <w:rsid w:val="00425210"/>
    <w:rsid w:val="00425551"/>
    <w:rsid w:val="0043083F"/>
    <w:rsid w:val="00434829"/>
    <w:rsid w:val="004356A1"/>
    <w:rsid w:val="004421C9"/>
    <w:rsid w:val="00443E05"/>
    <w:rsid w:val="00443F0B"/>
    <w:rsid w:val="004455DC"/>
    <w:rsid w:val="0045064E"/>
    <w:rsid w:val="004514D2"/>
    <w:rsid w:val="004523BC"/>
    <w:rsid w:val="00454167"/>
    <w:rsid w:val="00456A74"/>
    <w:rsid w:val="004630AA"/>
    <w:rsid w:val="00463C2E"/>
    <w:rsid w:val="004642AA"/>
    <w:rsid w:val="0046493A"/>
    <w:rsid w:val="004663BB"/>
    <w:rsid w:val="004748B5"/>
    <w:rsid w:val="00476147"/>
    <w:rsid w:val="00477B2F"/>
    <w:rsid w:val="00481428"/>
    <w:rsid w:val="004817AB"/>
    <w:rsid w:val="00482449"/>
    <w:rsid w:val="00483A5A"/>
    <w:rsid w:val="004850E4"/>
    <w:rsid w:val="00485743"/>
    <w:rsid w:val="00485D6C"/>
    <w:rsid w:val="00490162"/>
    <w:rsid w:val="004904B7"/>
    <w:rsid w:val="004910E8"/>
    <w:rsid w:val="00493E9A"/>
    <w:rsid w:val="00493F38"/>
    <w:rsid w:val="0049407A"/>
    <w:rsid w:val="004A065C"/>
    <w:rsid w:val="004A23AD"/>
    <w:rsid w:val="004A3A39"/>
    <w:rsid w:val="004A44C9"/>
    <w:rsid w:val="004B0446"/>
    <w:rsid w:val="004B0880"/>
    <w:rsid w:val="004B0FF1"/>
    <w:rsid w:val="004B13AD"/>
    <w:rsid w:val="004B342D"/>
    <w:rsid w:val="004B404F"/>
    <w:rsid w:val="004B638A"/>
    <w:rsid w:val="004B7E43"/>
    <w:rsid w:val="004C101A"/>
    <w:rsid w:val="004C27BF"/>
    <w:rsid w:val="004C5BE8"/>
    <w:rsid w:val="004D00B8"/>
    <w:rsid w:val="004D087E"/>
    <w:rsid w:val="004D2F16"/>
    <w:rsid w:val="004D3CB7"/>
    <w:rsid w:val="004D3E32"/>
    <w:rsid w:val="004D4076"/>
    <w:rsid w:val="004D4597"/>
    <w:rsid w:val="004D4B2E"/>
    <w:rsid w:val="004D6E32"/>
    <w:rsid w:val="004D7EE6"/>
    <w:rsid w:val="004E2FB8"/>
    <w:rsid w:val="004E71CB"/>
    <w:rsid w:val="004E7693"/>
    <w:rsid w:val="004F235D"/>
    <w:rsid w:val="004F2BF3"/>
    <w:rsid w:val="004F36A1"/>
    <w:rsid w:val="004F3FC0"/>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C59"/>
    <w:rsid w:val="00523FEC"/>
    <w:rsid w:val="0052416A"/>
    <w:rsid w:val="00524736"/>
    <w:rsid w:val="005250A6"/>
    <w:rsid w:val="0052660B"/>
    <w:rsid w:val="00530000"/>
    <w:rsid w:val="0053172D"/>
    <w:rsid w:val="00531773"/>
    <w:rsid w:val="00531E8F"/>
    <w:rsid w:val="00533313"/>
    <w:rsid w:val="0053796E"/>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57525"/>
    <w:rsid w:val="0056021E"/>
    <w:rsid w:val="00560C71"/>
    <w:rsid w:val="00563105"/>
    <w:rsid w:val="00563823"/>
    <w:rsid w:val="00563EDF"/>
    <w:rsid w:val="00564765"/>
    <w:rsid w:val="00565504"/>
    <w:rsid w:val="0056786D"/>
    <w:rsid w:val="0057438E"/>
    <w:rsid w:val="00574A8F"/>
    <w:rsid w:val="005754B9"/>
    <w:rsid w:val="00576957"/>
    <w:rsid w:val="00580315"/>
    <w:rsid w:val="00580F61"/>
    <w:rsid w:val="00581C8A"/>
    <w:rsid w:val="00582BF2"/>
    <w:rsid w:val="0058322B"/>
    <w:rsid w:val="00584CC5"/>
    <w:rsid w:val="00585AC3"/>
    <w:rsid w:val="00586283"/>
    <w:rsid w:val="00586CEE"/>
    <w:rsid w:val="005940EA"/>
    <w:rsid w:val="00597C83"/>
    <w:rsid w:val="005A1356"/>
    <w:rsid w:val="005A5B49"/>
    <w:rsid w:val="005A6629"/>
    <w:rsid w:val="005A7366"/>
    <w:rsid w:val="005B6D99"/>
    <w:rsid w:val="005C0E89"/>
    <w:rsid w:val="005C4915"/>
    <w:rsid w:val="005C5F32"/>
    <w:rsid w:val="005C6EFC"/>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424"/>
    <w:rsid w:val="00616766"/>
    <w:rsid w:val="00624BF6"/>
    <w:rsid w:val="00626209"/>
    <w:rsid w:val="006273F7"/>
    <w:rsid w:val="00632B7F"/>
    <w:rsid w:val="00632C60"/>
    <w:rsid w:val="0063350D"/>
    <w:rsid w:val="00640B38"/>
    <w:rsid w:val="006454A2"/>
    <w:rsid w:val="00647016"/>
    <w:rsid w:val="006473BD"/>
    <w:rsid w:val="00647A6D"/>
    <w:rsid w:val="00647C44"/>
    <w:rsid w:val="00653985"/>
    <w:rsid w:val="006552E2"/>
    <w:rsid w:val="00657286"/>
    <w:rsid w:val="00657FE9"/>
    <w:rsid w:val="006606FE"/>
    <w:rsid w:val="00660DE5"/>
    <w:rsid w:val="00661030"/>
    <w:rsid w:val="00662BED"/>
    <w:rsid w:val="00663D33"/>
    <w:rsid w:val="00664530"/>
    <w:rsid w:val="006664CC"/>
    <w:rsid w:val="006701B3"/>
    <w:rsid w:val="006702F3"/>
    <w:rsid w:val="006709B7"/>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0CAC"/>
    <w:rsid w:val="00693FD0"/>
    <w:rsid w:val="00695E69"/>
    <w:rsid w:val="00697450"/>
    <w:rsid w:val="006A0656"/>
    <w:rsid w:val="006A3901"/>
    <w:rsid w:val="006A6358"/>
    <w:rsid w:val="006A753F"/>
    <w:rsid w:val="006B12D5"/>
    <w:rsid w:val="006B1598"/>
    <w:rsid w:val="006B233E"/>
    <w:rsid w:val="006B3B2A"/>
    <w:rsid w:val="006B40EE"/>
    <w:rsid w:val="006B4786"/>
    <w:rsid w:val="006B561D"/>
    <w:rsid w:val="006B79F5"/>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55F2"/>
    <w:rsid w:val="006D73F3"/>
    <w:rsid w:val="006D7D7F"/>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2540"/>
    <w:rsid w:val="0072493D"/>
    <w:rsid w:val="00725070"/>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0CBC"/>
    <w:rsid w:val="00760CC6"/>
    <w:rsid w:val="00762D25"/>
    <w:rsid w:val="00763F7A"/>
    <w:rsid w:val="00766335"/>
    <w:rsid w:val="00766B00"/>
    <w:rsid w:val="00766F9D"/>
    <w:rsid w:val="0077581E"/>
    <w:rsid w:val="00776A3D"/>
    <w:rsid w:val="00777266"/>
    <w:rsid w:val="00783AC6"/>
    <w:rsid w:val="007859FB"/>
    <w:rsid w:val="007864FC"/>
    <w:rsid w:val="00794106"/>
    <w:rsid w:val="00794462"/>
    <w:rsid w:val="00794D41"/>
    <w:rsid w:val="007A0691"/>
    <w:rsid w:val="007A0C54"/>
    <w:rsid w:val="007A101D"/>
    <w:rsid w:val="007A1A99"/>
    <w:rsid w:val="007A2B34"/>
    <w:rsid w:val="007A3944"/>
    <w:rsid w:val="007A3D17"/>
    <w:rsid w:val="007A6E51"/>
    <w:rsid w:val="007A7475"/>
    <w:rsid w:val="007A7AFA"/>
    <w:rsid w:val="007B0115"/>
    <w:rsid w:val="007B016B"/>
    <w:rsid w:val="007B032F"/>
    <w:rsid w:val="007B102F"/>
    <w:rsid w:val="007B141F"/>
    <w:rsid w:val="007B162A"/>
    <w:rsid w:val="007B1D64"/>
    <w:rsid w:val="007B1F6E"/>
    <w:rsid w:val="007B217A"/>
    <w:rsid w:val="007B489F"/>
    <w:rsid w:val="007B5B0D"/>
    <w:rsid w:val="007B7A3D"/>
    <w:rsid w:val="007C03F5"/>
    <w:rsid w:val="007C0B84"/>
    <w:rsid w:val="007C36EF"/>
    <w:rsid w:val="007D114A"/>
    <w:rsid w:val="007D12A7"/>
    <w:rsid w:val="007D1B16"/>
    <w:rsid w:val="007D24FC"/>
    <w:rsid w:val="007D4FC2"/>
    <w:rsid w:val="007E0C49"/>
    <w:rsid w:val="007E1CEB"/>
    <w:rsid w:val="007E53EB"/>
    <w:rsid w:val="007E5EDC"/>
    <w:rsid w:val="007E6761"/>
    <w:rsid w:val="007E73E5"/>
    <w:rsid w:val="007F0B88"/>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6F47"/>
    <w:rsid w:val="00817FDD"/>
    <w:rsid w:val="00820176"/>
    <w:rsid w:val="008215E7"/>
    <w:rsid w:val="0082282E"/>
    <w:rsid w:val="00823C3C"/>
    <w:rsid w:val="008279AF"/>
    <w:rsid w:val="00830F84"/>
    <w:rsid w:val="00831C63"/>
    <w:rsid w:val="00831DCF"/>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399E"/>
    <w:rsid w:val="00866A73"/>
    <w:rsid w:val="00871345"/>
    <w:rsid w:val="00871A2B"/>
    <w:rsid w:val="008736AF"/>
    <w:rsid w:val="0087576D"/>
    <w:rsid w:val="008768E9"/>
    <w:rsid w:val="0087743D"/>
    <w:rsid w:val="0088077C"/>
    <w:rsid w:val="00880897"/>
    <w:rsid w:val="00880D13"/>
    <w:rsid w:val="008822BE"/>
    <w:rsid w:val="00883CD5"/>
    <w:rsid w:val="008841B6"/>
    <w:rsid w:val="00885664"/>
    <w:rsid w:val="008863E5"/>
    <w:rsid w:val="008867E2"/>
    <w:rsid w:val="00886F29"/>
    <w:rsid w:val="008872D3"/>
    <w:rsid w:val="00893D84"/>
    <w:rsid w:val="00894D35"/>
    <w:rsid w:val="00894E68"/>
    <w:rsid w:val="00896085"/>
    <w:rsid w:val="008960D3"/>
    <w:rsid w:val="008972FF"/>
    <w:rsid w:val="008A0C44"/>
    <w:rsid w:val="008A1936"/>
    <w:rsid w:val="008A280D"/>
    <w:rsid w:val="008A29AF"/>
    <w:rsid w:val="008A3C1F"/>
    <w:rsid w:val="008A4CCF"/>
    <w:rsid w:val="008A664D"/>
    <w:rsid w:val="008B377E"/>
    <w:rsid w:val="008B4CAF"/>
    <w:rsid w:val="008B5538"/>
    <w:rsid w:val="008B69A5"/>
    <w:rsid w:val="008C2DB4"/>
    <w:rsid w:val="008C2F9E"/>
    <w:rsid w:val="008C3F2C"/>
    <w:rsid w:val="008C5E8F"/>
    <w:rsid w:val="008D13E6"/>
    <w:rsid w:val="008D1538"/>
    <w:rsid w:val="008D1F72"/>
    <w:rsid w:val="008D2E07"/>
    <w:rsid w:val="008D32F9"/>
    <w:rsid w:val="008D4520"/>
    <w:rsid w:val="008E1E18"/>
    <w:rsid w:val="008E46DA"/>
    <w:rsid w:val="008E4ED9"/>
    <w:rsid w:val="008F2229"/>
    <w:rsid w:val="008F6482"/>
    <w:rsid w:val="008F6EDD"/>
    <w:rsid w:val="008F70D1"/>
    <w:rsid w:val="008F74FC"/>
    <w:rsid w:val="008F7AF3"/>
    <w:rsid w:val="00901A11"/>
    <w:rsid w:val="00901A71"/>
    <w:rsid w:val="0090265C"/>
    <w:rsid w:val="00902A83"/>
    <w:rsid w:val="0090469D"/>
    <w:rsid w:val="009068AA"/>
    <w:rsid w:val="00906972"/>
    <w:rsid w:val="00907356"/>
    <w:rsid w:val="009101C5"/>
    <w:rsid w:val="00910434"/>
    <w:rsid w:val="0091238F"/>
    <w:rsid w:val="00913DA3"/>
    <w:rsid w:val="00913F4F"/>
    <w:rsid w:val="00913F7B"/>
    <w:rsid w:val="00916542"/>
    <w:rsid w:val="00920BE7"/>
    <w:rsid w:val="00923276"/>
    <w:rsid w:val="00923E84"/>
    <w:rsid w:val="00932484"/>
    <w:rsid w:val="00932558"/>
    <w:rsid w:val="0093355C"/>
    <w:rsid w:val="00937205"/>
    <w:rsid w:val="00937C1D"/>
    <w:rsid w:val="00940EDA"/>
    <w:rsid w:val="00942271"/>
    <w:rsid w:val="00943759"/>
    <w:rsid w:val="00944B8A"/>
    <w:rsid w:val="009503C7"/>
    <w:rsid w:val="00950B05"/>
    <w:rsid w:val="0095289B"/>
    <w:rsid w:val="00953B50"/>
    <w:rsid w:val="0095421E"/>
    <w:rsid w:val="00955CE4"/>
    <w:rsid w:val="00957CC9"/>
    <w:rsid w:val="00963AB1"/>
    <w:rsid w:val="00964612"/>
    <w:rsid w:val="009667E1"/>
    <w:rsid w:val="00970AC2"/>
    <w:rsid w:val="00970CA9"/>
    <w:rsid w:val="00971A90"/>
    <w:rsid w:val="00971EF9"/>
    <w:rsid w:val="009727EA"/>
    <w:rsid w:val="00972A6E"/>
    <w:rsid w:val="009732FF"/>
    <w:rsid w:val="00976551"/>
    <w:rsid w:val="00976BDA"/>
    <w:rsid w:val="009828FD"/>
    <w:rsid w:val="00990F3B"/>
    <w:rsid w:val="00991559"/>
    <w:rsid w:val="009920F3"/>
    <w:rsid w:val="0099256E"/>
    <w:rsid w:val="009928AE"/>
    <w:rsid w:val="00992F6A"/>
    <w:rsid w:val="00995394"/>
    <w:rsid w:val="00996C25"/>
    <w:rsid w:val="009975BB"/>
    <w:rsid w:val="009A025A"/>
    <w:rsid w:val="009A278E"/>
    <w:rsid w:val="009A3A3C"/>
    <w:rsid w:val="009A40E8"/>
    <w:rsid w:val="009A6A18"/>
    <w:rsid w:val="009B6E72"/>
    <w:rsid w:val="009B6EE2"/>
    <w:rsid w:val="009B7163"/>
    <w:rsid w:val="009C2AB5"/>
    <w:rsid w:val="009C2F87"/>
    <w:rsid w:val="009C639F"/>
    <w:rsid w:val="009C6E78"/>
    <w:rsid w:val="009D0008"/>
    <w:rsid w:val="009D0482"/>
    <w:rsid w:val="009D1365"/>
    <w:rsid w:val="009D39A1"/>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3532"/>
    <w:rsid w:val="00A04077"/>
    <w:rsid w:val="00A040FC"/>
    <w:rsid w:val="00A0476B"/>
    <w:rsid w:val="00A04EA3"/>
    <w:rsid w:val="00A101F6"/>
    <w:rsid w:val="00A10B1C"/>
    <w:rsid w:val="00A11684"/>
    <w:rsid w:val="00A127F2"/>
    <w:rsid w:val="00A14248"/>
    <w:rsid w:val="00A151F9"/>
    <w:rsid w:val="00A15ACF"/>
    <w:rsid w:val="00A16B61"/>
    <w:rsid w:val="00A16F99"/>
    <w:rsid w:val="00A17CCE"/>
    <w:rsid w:val="00A17CE4"/>
    <w:rsid w:val="00A21E18"/>
    <w:rsid w:val="00A2402C"/>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6F3"/>
    <w:rsid w:val="00A47C76"/>
    <w:rsid w:val="00A52567"/>
    <w:rsid w:val="00A53761"/>
    <w:rsid w:val="00A53CE6"/>
    <w:rsid w:val="00A65193"/>
    <w:rsid w:val="00A67AD3"/>
    <w:rsid w:val="00A67CCB"/>
    <w:rsid w:val="00A73902"/>
    <w:rsid w:val="00A73925"/>
    <w:rsid w:val="00A756D5"/>
    <w:rsid w:val="00A75C27"/>
    <w:rsid w:val="00A76B1E"/>
    <w:rsid w:val="00A77A39"/>
    <w:rsid w:val="00A77AE9"/>
    <w:rsid w:val="00A814A0"/>
    <w:rsid w:val="00A81503"/>
    <w:rsid w:val="00A8233D"/>
    <w:rsid w:val="00A82C46"/>
    <w:rsid w:val="00A85D20"/>
    <w:rsid w:val="00A85F39"/>
    <w:rsid w:val="00A86332"/>
    <w:rsid w:val="00A86DD4"/>
    <w:rsid w:val="00A91504"/>
    <w:rsid w:val="00A92F62"/>
    <w:rsid w:val="00A93449"/>
    <w:rsid w:val="00A946EB"/>
    <w:rsid w:val="00AA1A0C"/>
    <w:rsid w:val="00AA1CAC"/>
    <w:rsid w:val="00AA2810"/>
    <w:rsid w:val="00AA3C89"/>
    <w:rsid w:val="00AA6315"/>
    <w:rsid w:val="00AB0CAD"/>
    <w:rsid w:val="00AB26E0"/>
    <w:rsid w:val="00AB27CB"/>
    <w:rsid w:val="00AB2C05"/>
    <w:rsid w:val="00AB4A8C"/>
    <w:rsid w:val="00AB71F2"/>
    <w:rsid w:val="00AC49A3"/>
    <w:rsid w:val="00AC4A36"/>
    <w:rsid w:val="00AC5613"/>
    <w:rsid w:val="00AC759D"/>
    <w:rsid w:val="00AD490B"/>
    <w:rsid w:val="00AD6A92"/>
    <w:rsid w:val="00AE1E32"/>
    <w:rsid w:val="00AE3458"/>
    <w:rsid w:val="00AE36DC"/>
    <w:rsid w:val="00AE6A6D"/>
    <w:rsid w:val="00AF00F9"/>
    <w:rsid w:val="00AF0888"/>
    <w:rsid w:val="00AF0D99"/>
    <w:rsid w:val="00AF1CAC"/>
    <w:rsid w:val="00AF30BD"/>
    <w:rsid w:val="00AF31D5"/>
    <w:rsid w:val="00AF6810"/>
    <w:rsid w:val="00B0001B"/>
    <w:rsid w:val="00B034AA"/>
    <w:rsid w:val="00B03EB7"/>
    <w:rsid w:val="00B0594C"/>
    <w:rsid w:val="00B05FC7"/>
    <w:rsid w:val="00B06E05"/>
    <w:rsid w:val="00B13ECD"/>
    <w:rsid w:val="00B172BA"/>
    <w:rsid w:val="00B17B36"/>
    <w:rsid w:val="00B2034A"/>
    <w:rsid w:val="00B2097F"/>
    <w:rsid w:val="00B22512"/>
    <w:rsid w:val="00B23268"/>
    <w:rsid w:val="00B244A2"/>
    <w:rsid w:val="00B277C1"/>
    <w:rsid w:val="00B3323E"/>
    <w:rsid w:val="00B342DE"/>
    <w:rsid w:val="00B34F9B"/>
    <w:rsid w:val="00B354FC"/>
    <w:rsid w:val="00B36F96"/>
    <w:rsid w:val="00B40239"/>
    <w:rsid w:val="00B42022"/>
    <w:rsid w:val="00B4298E"/>
    <w:rsid w:val="00B459FB"/>
    <w:rsid w:val="00B50249"/>
    <w:rsid w:val="00B50840"/>
    <w:rsid w:val="00B54994"/>
    <w:rsid w:val="00B5539B"/>
    <w:rsid w:val="00B574DB"/>
    <w:rsid w:val="00B60816"/>
    <w:rsid w:val="00B60C8A"/>
    <w:rsid w:val="00B610A6"/>
    <w:rsid w:val="00B63FF0"/>
    <w:rsid w:val="00B6498C"/>
    <w:rsid w:val="00B70F05"/>
    <w:rsid w:val="00B754AB"/>
    <w:rsid w:val="00B76C5D"/>
    <w:rsid w:val="00B77E6E"/>
    <w:rsid w:val="00B809BA"/>
    <w:rsid w:val="00B80F15"/>
    <w:rsid w:val="00B820B0"/>
    <w:rsid w:val="00B83268"/>
    <w:rsid w:val="00B83905"/>
    <w:rsid w:val="00B8401D"/>
    <w:rsid w:val="00B84510"/>
    <w:rsid w:val="00B8455E"/>
    <w:rsid w:val="00B90519"/>
    <w:rsid w:val="00B92430"/>
    <w:rsid w:val="00B92EB2"/>
    <w:rsid w:val="00B9384A"/>
    <w:rsid w:val="00B96267"/>
    <w:rsid w:val="00B97730"/>
    <w:rsid w:val="00BA10E0"/>
    <w:rsid w:val="00BA5954"/>
    <w:rsid w:val="00BA66B6"/>
    <w:rsid w:val="00BA6891"/>
    <w:rsid w:val="00BA6DDE"/>
    <w:rsid w:val="00BB0105"/>
    <w:rsid w:val="00BB3744"/>
    <w:rsid w:val="00BB378E"/>
    <w:rsid w:val="00BB4EF7"/>
    <w:rsid w:val="00BB5CE1"/>
    <w:rsid w:val="00BB73A2"/>
    <w:rsid w:val="00BB778B"/>
    <w:rsid w:val="00BC072A"/>
    <w:rsid w:val="00BC0911"/>
    <w:rsid w:val="00BC289B"/>
    <w:rsid w:val="00BD100A"/>
    <w:rsid w:val="00BD119E"/>
    <w:rsid w:val="00BD1BD8"/>
    <w:rsid w:val="00BD1D83"/>
    <w:rsid w:val="00BD4B19"/>
    <w:rsid w:val="00BD4D60"/>
    <w:rsid w:val="00BD719F"/>
    <w:rsid w:val="00BE0549"/>
    <w:rsid w:val="00BE09AE"/>
    <w:rsid w:val="00BE1AF4"/>
    <w:rsid w:val="00BE25BA"/>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710F"/>
    <w:rsid w:val="00C17D71"/>
    <w:rsid w:val="00C20C6E"/>
    <w:rsid w:val="00C2130B"/>
    <w:rsid w:val="00C21371"/>
    <w:rsid w:val="00C21495"/>
    <w:rsid w:val="00C21C3C"/>
    <w:rsid w:val="00C23AC6"/>
    <w:rsid w:val="00C23E97"/>
    <w:rsid w:val="00C25578"/>
    <w:rsid w:val="00C26CB0"/>
    <w:rsid w:val="00C360FE"/>
    <w:rsid w:val="00C4213E"/>
    <w:rsid w:val="00C44D73"/>
    <w:rsid w:val="00C45D9F"/>
    <w:rsid w:val="00C47105"/>
    <w:rsid w:val="00C47560"/>
    <w:rsid w:val="00C4784C"/>
    <w:rsid w:val="00C526B4"/>
    <w:rsid w:val="00C5320A"/>
    <w:rsid w:val="00C53D24"/>
    <w:rsid w:val="00C55CEE"/>
    <w:rsid w:val="00C61C6F"/>
    <w:rsid w:val="00C65273"/>
    <w:rsid w:val="00C653B9"/>
    <w:rsid w:val="00C66418"/>
    <w:rsid w:val="00C66692"/>
    <w:rsid w:val="00C66C7B"/>
    <w:rsid w:val="00C7320E"/>
    <w:rsid w:val="00C73369"/>
    <w:rsid w:val="00C73ADA"/>
    <w:rsid w:val="00C74069"/>
    <w:rsid w:val="00C741DA"/>
    <w:rsid w:val="00C74259"/>
    <w:rsid w:val="00C75746"/>
    <w:rsid w:val="00C81211"/>
    <w:rsid w:val="00C81B0F"/>
    <w:rsid w:val="00C826CC"/>
    <w:rsid w:val="00C83C20"/>
    <w:rsid w:val="00C842FD"/>
    <w:rsid w:val="00C84DE6"/>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800"/>
    <w:rsid w:val="00CB0EBD"/>
    <w:rsid w:val="00CB1D5F"/>
    <w:rsid w:val="00CB6792"/>
    <w:rsid w:val="00CC0712"/>
    <w:rsid w:val="00CC0EBA"/>
    <w:rsid w:val="00CC2146"/>
    <w:rsid w:val="00CC22D6"/>
    <w:rsid w:val="00CC2C72"/>
    <w:rsid w:val="00CC4558"/>
    <w:rsid w:val="00CC5521"/>
    <w:rsid w:val="00CC55EB"/>
    <w:rsid w:val="00CC65E9"/>
    <w:rsid w:val="00CC69B1"/>
    <w:rsid w:val="00CD17F0"/>
    <w:rsid w:val="00CD26F0"/>
    <w:rsid w:val="00CD2A9F"/>
    <w:rsid w:val="00CD2ABA"/>
    <w:rsid w:val="00CD401C"/>
    <w:rsid w:val="00CD7A54"/>
    <w:rsid w:val="00CD7F09"/>
    <w:rsid w:val="00CE017B"/>
    <w:rsid w:val="00CE2853"/>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1F1"/>
    <w:rsid w:val="00D17421"/>
    <w:rsid w:val="00D208B0"/>
    <w:rsid w:val="00D21B7C"/>
    <w:rsid w:val="00D27105"/>
    <w:rsid w:val="00D27E40"/>
    <w:rsid w:val="00D30720"/>
    <w:rsid w:val="00D30937"/>
    <w:rsid w:val="00D345EB"/>
    <w:rsid w:val="00D36E64"/>
    <w:rsid w:val="00D40ACF"/>
    <w:rsid w:val="00D425C1"/>
    <w:rsid w:val="00D44ABE"/>
    <w:rsid w:val="00D517C0"/>
    <w:rsid w:val="00D53CBF"/>
    <w:rsid w:val="00D54E76"/>
    <w:rsid w:val="00D56097"/>
    <w:rsid w:val="00D57FB4"/>
    <w:rsid w:val="00D60175"/>
    <w:rsid w:val="00D603B4"/>
    <w:rsid w:val="00D6219D"/>
    <w:rsid w:val="00D6225B"/>
    <w:rsid w:val="00D63801"/>
    <w:rsid w:val="00D6456C"/>
    <w:rsid w:val="00D70A2B"/>
    <w:rsid w:val="00D7179F"/>
    <w:rsid w:val="00D72128"/>
    <w:rsid w:val="00D74235"/>
    <w:rsid w:val="00D74DD5"/>
    <w:rsid w:val="00D7798C"/>
    <w:rsid w:val="00D80511"/>
    <w:rsid w:val="00D809B2"/>
    <w:rsid w:val="00D80BD2"/>
    <w:rsid w:val="00D8240B"/>
    <w:rsid w:val="00D86F43"/>
    <w:rsid w:val="00D917AA"/>
    <w:rsid w:val="00D960B9"/>
    <w:rsid w:val="00D96A71"/>
    <w:rsid w:val="00D9751D"/>
    <w:rsid w:val="00DA1106"/>
    <w:rsid w:val="00DA3198"/>
    <w:rsid w:val="00DA369A"/>
    <w:rsid w:val="00DA51FC"/>
    <w:rsid w:val="00DA638A"/>
    <w:rsid w:val="00DA6D09"/>
    <w:rsid w:val="00DA7439"/>
    <w:rsid w:val="00DB3C13"/>
    <w:rsid w:val="00DB435C"/>
    <w:rsid w:val="00DB526D"/>
    <w:rsid w:val="00DB5E02"/>
    <w:rsid w:val="00DB7A97"/>
    <w:rsid w:val="00DC539C"/>
    <w:rsid w:val="00DD37F2"/>
    <w:rsid w:val="00DD7122"/>
    <w:rsid w:val="00DE315E"/>
    <w:rsid w:val="00DE3AAA"/>
    <w:rsid w:val="00DE5BF1"/>
    <w:rsid w:val="00DE5C4B"/>
    <w:rsid w:val="00DE6239"/>
    <w:rsid w:val="00DE6386"/>
    <w:rsid w:val="00DF1B61"/>
    <w:rsid w:val="00DF21D3"/>
    <w:rsid w:val="00DF3A71"/>
    <w:rsid w:val="00DF4B7F"/>
    <w:rsid w:val="00DF6CF0"/>
    <w:rsid w:val="00E0176F"/>
    <w:rsid w:val="00E07B47"/>
    <w:rsid w:val="00E07D18"/>
    <w:rsid w:val="00E143BF"/>
    <w:rsid w:val="00E1661D"/>
    <w:rsid w:val="00E17969"/>
    <w:rsid w:val="00E20617"/>
    <w:rsid w:val="00E20AE4"/>
    <w:rsid w:val="00E223F9"/>
    <w:rsid w:val="00E22A22"/>
    <w:rsid w:val="00E242BB"/>
    <w:rsid w:val="00E24994"/>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494"/>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5BD9"/>
    <w:rsid w:val="00E96BC1"/>
    <w:rsid w:val="00E97B57"/>
    <w:rsid w:val="00E97D4D"/>
    <w:rsid w:val="00EA1731"/>
    <w:rsid w:val="00EA1BCB"/>
    <w:rsid w:val="00EA1EE3"/>
    <w:rsid w:val="00EA510A"/>
    <w:rsid w:val="00EB0F58"/>
    <w:rsid w:val="00EB22B0"/>
    <w:rsid w:val="00EB4528"/>
    <w:rsid w:val="00EB4987"/>
    <w:rsid w:val="00EB5A25"/>
    <w:rsid w:val="00EB7E47"/>
    <w:rsid w:val="00EC0720"/>
    <w:rsid w:val="00EC1F01"/>
    <w:rsid w:val="00EC1FA7"/>
    <w:rsid w:val="00EC4EBC"/>
    <w:rsid w:val="00EC7309"/>
    <w:rsid w:val="00ED2461"/>
    <w:rsid w:val="00ED6959"/>
    <w:rsid w:val="00ED7C5D"/>
    <w:rsid w:val="00EE0AAC"/>
    <w:rsid w:val="00EE0F8E"/>
    <w:rsid w:val="00EE2D8D"/>
    <w:rsid w:val="00EE4A7D"/>
    <w:rsid w:val="00EE4FCC"/>
    <w:rsid w:val="00EE53D5"/>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081A"/>
    <w:rsid w:val="00F10AF9"/>
    <w:rsid w:val="00F12513"/>
    <w:rsid w:val="00F13154"/>
    <w:rsid w:val="00F14601"/>
    <w:rsid w:val="00F1497B"/>
    <w:rsid w:val="00F1511F"/>
    <w:rsid w:val="00F15308"/>
    <w:rsid w:val="00F1542E"/>
    <w:rsid w:val="00F16121"/>
    <w:rsid w:val="00F17477"/>
    <w:rsid w:val="00F240C3"/>
    <w:rsid w:val="00F2510E"/>
    <w:rsid w:val="00F25F9C"/>
    <w:rsid w:val="00F26717"/>
    <w:rsid w:val="00F30019"/>
    <w:rsid w:val="00F319E1"/>
    <w:rsid w:val="00F3325C"/>
    <w:rsid w:val="00F33507"/>
    <w:rsid w:val="00F3405A"/>
    <w:rsid w:val="00F340CE"/>
    <w:rsid w:val="00F34AE8"/>
    <w:rsid w:val="00F35E84"/>
    <w:rsid w:val="00F37A92"/>
    <w:rsid w:val="00F41A59"/>
    <w:rsid w:val="00F4489F"/>
    <w:rsid w:val="00F46BDF"/>
    <w:rsid w:val="00F47FCF"/>
    <w:rsid w:val="00F500A4"/>
    <w:rsid w:val="00F51791"/>
    <w:rsid w:val="00F52694"/>
    <w:rsid w:val="00F560DB"/>
    <w:rsid w:val="00F57C1D"/>
    <w:rsid w:val="00F60672"/>
    <w:rsid w:val="00F6076D"/>
    <w:rsid w:val="00F61A6A"/>
    <w:rsid w:val="00F62920"/>
    <w:rsid w:val="00F666CA"/>
    <w:rsid w:val="00F67C9C"/>
    <w:rsid w:val="00F7142F"/>
    <w:rsid w:val="00F7275B"/>
    <w:rsid w:val="00F75A5D"/>
    <w:rsid w:val="00F7689C"/>
    <w:rsid w:val="00F800CB"/>
    <w:rsid w:val="00F80661"/>
    <w:rsid w:val="00F8212D"/>
    <w:rsid w:val="00F8375F"/>
    <w:rsid w:val="00F84049"/>
    <w:rsid w:val="00F93D1B"/>
    <w:rsid w:val="00F94848"/>
    <w:rsid w:val="00F95E09"/>
    <w:rsid w:val="00FA61FC"/>
    <w:rsid w:val="00FA6673"/>
    <w:rsid w:val="00FA6FBF"/>
    <w:rsid w:val="00FB272A"/>
    <w:rsid w:val="00FB3BE3"/>
    <w:rsid w:val="00FB42F8"/>
    <w:rsid w:val="00FB4359"/>
    <w:rsid w:val="00FB47CC"/>
    <w:rsid w:val="00FB4C97"/>
    <w:rsid w:val="00FB4FE3"/>
    <w:rsid w:val="00FB508E"/>
    <w:rsid w:val="00FB5469"/>
    <w:rsid w:val="00FC1898"/>
    <w:rsid w:val="00FC6AFF"/>
    <w:rsid w:val="00FD07A4"/>
    <w:rsid w:val="00FD32E4"/>
    <w:rsid w:val="00FD6030"/>
    <w:rsid w:val="00FD743D"/>
    <w:rsid w:val="00FE04EE"/>
    <w:rsid w:val="00FE13E2"/>
    <w:rsid w:val="00FE42E5"/>
    <w:rsid w:val="00FE66B1"/>
    <w:rsid w:val="00FE769B"/>
    <w:rsid w:val="00FF146D"/>
    <w:rsid w:val="00FF2104"/>
    <w:rsid w:val="00FF3B47"/>
    <w:rsid w:val="00FF41B3"/>
    <w:rsid w:val="00FF516D"/>
    <w:rsid w:val="00FF5DC4"/>
    <w:rsid w:val="00FF7CBD"/>
    <w:rsid w:val="0BDF6813"/>
    <w:rsid w:val="0E2F327D"/>
    <w:rsid w:val="108D4A90"/>
    <w:rsid w:val="2D000BAD"/>
    <w:rsid w:val="440E7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50EAC"/>
  <w15:docId w15:val="{2905DFF3-EB80-4B03-AE52-6D0DFD86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pPr>
      <w:tabs>
        <w:tab w:val="right" w:leader="dot" w:pos="8296"/>
      </w:tabs>
    </w:pPr>
    <w:rPr>
      <w:sz w:val="22"/>
    </w:r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autoRedefine/>
    <w:qFormat/>
    <w:pPr>
      <w:ind w:left="240"/>
    </w:pPr>
    <w:rPr>
      <w:sz w:val="22"/>
    </w:rPr>
  </w:style>
  <w:style w:type="paragraph" w:styleId="af0">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af2"/>
    <w:qFormat/>
    <w:pPr>
      <w:spacing w:before="240" w:after="60"/>
      <w:jc w:val="center"/>
      <w:outlineLvl w:val="0"/>
    </w:pPr>
    <w:rPr>
      <w:rFonts w:ascii="Cambria" w:hAnsi="Cambria"/>
      <w:b/>
      <w:sz w:val="32"/>
      <w:lang w:val="zh-CN"/>
    </w:rPr>
  </w:style>
  <w:style w:type="paragraph" w:styleId="af3">
    <w:name w:val="annotation subject"/>
    <w:basedOn w:val="a5"/>
    <w:next w:val="a5"/>
    <w:qFormat/>
    <w:rPr>
      <w:b/>
    </w:rPr>
  </w:style>
  <w:style w:type="character" w:styleId="af4">
    <w:name w:val="page number"/>
    <w:basedOn w:val="a0"/>
    <w:qFormat/>
  </w:style>
  <w:style w:type="character" w:styleId="af5">
    <w:name w:val="Hyperlink"/>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a8">
    <w:name w:val="正文文本 字符"/>
    <w:link w:val="a7"/>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af2">
    <w:name w:val="标题 字符"/>
    <w:link w:val="af1"/>
    <w:qFormat/>
    <w:rPr>
      <w:rFonts w:ascii="Cambria" w:hAnsi="Cambria"/>
      <w:b/>
      <w:kern w:val="2"/>
      <w:sz w:val="32"/>
      <w:lang w:val="zh-CN" w:eastAsia="zh-CN"/>
    </w:rPr>
  </w:style>
  <w:style w:type="character" w:customStyle="1" w:styleId="ae">
    <w:name w:val="页眉 字符"/>
    <w:link w:val="ad"/>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8">
    <w:name w:val="正文正文"/>
    <w:basedOn w:val="a"/>
    <w:qFormat/>
    <w:pPr>
      <w:spacing w:afterLines="25" w:after="78" w:line="360" w:lineRule="auto"/>
      <w:ind w:firstLineChars="200" w:firstLine="200"/>
    </w:pPr>
    <w:rPr>
      <w:sz w:val="24"/>
    </w:rPr>
  </w:style>
  <w:style w:type="paragraph" w:customStyle="1" w:styleId="Char">
    <w:name w:val="Char"/>
    <w:basedOn w:val="a"/>
    <w:qFormat/>
  </w:style>
  <w:style w:type="paragraph" w:customStyle="1" w:styleId="Char0">
    <w:name w:val="Char_0"/>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9">
    <w:name w:val="正文所"/>
    <w:basedOn w:val="a"/>
    <w:qFormat/>
    <w:pPr>
      <w:spacing w:line="360" w:lineRule="auto"/>
      <w:ind w:firstLineChars="200" w:firstLine="420"/>
    </w:pPr>
    <w:rPr>
      <w:rFonts w:ascii="宋体"/>
    </w:rPr>
  </w:style>
  <w:style w:type="paragraph" w:customStyle="1" w:styleId="12">
    <w:name w:val="修订1"/>
    <w:hidden/>
    <w:uiPriority w:val="99"/>
    <w:semiHidden/>
    <w:qFormat/>
    <w:rPr>
      <w:kern w:val="2"/>
      <w:sz w:val="21"/>
    </w:rPr>
  </w:style>
  <w:style w:type="character" w:customStyle="1" w:styleId="10">
    <w:name w:val="标题 1 字符"/>
    <w:link w:val="1"/>
    <w:qFormat/>
    <w:rPr>
      <w:rFonts w:ascii="宋体"/>
      <w:b/>
      <w:color w:val="000000"/>
      <w:sz w:val="24"/>
    </w:rPr>
  </w:style>
  <w:style w:type="character" w:customStyle="1" w:styleId="a6">
    <w:name w:val="批注文字 字符"/>
    <w:link w:val="a5"/>
    <w:qFormat/>
    <w:rPr>
      <w:kern w:val="2"/>
      <w:sz w:val="21"/>
    </w:rPr>
  </w:style>
  <w:style w:type="paragraph" w:customStyle="1" w:styleId="CharChar0">
    <w:name w:val="Char Char_0"/>
    <w:basedOn w:val="a"/>
    <w:qFormat/>
  </w:style>
  <w:style w:type="paragraph" w:customStyle="1" w:styleId="CharChar10">
    <w:name w:val="Char Char_1"/>
    <w:basedOn w:val="a"/>
    <w:qFormat/>
  </w:style>
  <w:style w:type="paragraph" w:customStyle="1" w:styleId="Char1">
    <w:name w:val="Char_1"/>
    <w:basedOn w:val="a"/>
    <w:qFormat/>
  </w:style>
  <w:style w:type="paragraph" w:customStyle="1" w:styleId="CharCharChar0">
    <w:name w:val="Char Char Char_0"/>
    <w:basedOn w:val="a"/>
    <w:qFormat/>
  </w:style>
  <w:style w:type="paragraph" w:customStyle="1" w:styleId="CharCharCharChar0">
    <w:name w:val="Char Char Char Char_0"/>
    <w:basedOn w:val="a"/>
    <w:qFormat/>
    <w:pPr>
      <w:tabs>
        <w:tab w:val="left" w:pos="360"/>
      </w:tabs>
    </w:pPr>
  </w:style>
  <w:style w:type="paragraph" w:customStyle="1" w:styleId="CharChar100">
    <w:name w:val="Char Char1_0"/>
    <w:basedOn w:val="a"/>
    <w:qFormat/>
  </w:style>
  <w:style w:type="paragraph" w:customStyle="1" w:styleId="CharChar2">
    <w:name w:val="Char Char_2"/>
    <w:basedOn w:val="a"/>
    <w:qFormat/>
  </w:style>
  <w:style w:type="paragraph" w:styleId="afa">
    <w:name w:val="List Paragraph"/>
    <w:basedOn w:val="a"/>
    <w:uiPriority w:val="34"/>
    <w:qFormat/>
    <w:pPr>
      <w:ind w:firstLineChars="200" w:firstLine="420"/>
    </w:pPr>
  </w:style>
  <w:style w:type="paragraph" w:customStyle="1" w:styleId="CharChar11">
    <w:name w:val="Char Char1_1"/>
    <w:basedOn w:val="a"/>
    <w:qFormat/>
  </w:style>
  <w:style w:type="paragraph" w:customStyle="1" w:styleId="Char2">
    <w:name w:val="Char_2"/>
    <w:basedOn w:val="a"/>
    <w:qFormat/>
  </w:style>
  <w:style w:type="paragraph" w:customStyle="1" w:styleId="CharChar12">
    <w:name w:val="Char Char1_2"/>
    <w:basedOn w:val="a"/>
    <w:qFormat/>
  </w:style>
  <w:style w:type="paragraph" w:customStyle="1" w:styleId="Char3">
    <w:name w:val="Char_3"/>
    <w:basedOn w:val="a"/>
    <w:qFormat/>
  </w:style>
  <w:style w:type="paragraph" w:customStyle="1" w:styleId="CharChar13">
    <w:name w:val="Char Char1_3"/>
    <w:basedOn w:val="a"/>
    <w:qFormat/>
  </w:style>
  <w:style w:type="paragraph" w:customStyle="1" w:styleId="Char4">
    <w:name w:val="Char_4"/>
    <w:basedOn w:val="a"/>
    <w:qFormat/>
  </w:style>
  <w:style w:type="paragraph" w:customStyle="1" w:styleId="CharChar3">
    <w:name w:val="Char Char_3"/>
    <w:basedOn w:val="a"/>
    <w:qFormat/>
  </w:style>
  <w:style w:type="character" w:customStyle="1" w:styleId="ac">
    <w:name w:val="页脚 字符"/>
    <w:basedOn w:val="a0"/>
    <w:link w:val="ab"/>
    <w:uiPriority w:val="99"/>
    <w:qFormat/>
    <w:rPr>
      <w:kern w:val="2"/>
      <w:sz w:val="18"/>
    </w:rPr>
  </w:style>
  <w:style w:type="paragraph" w:customStyle="1" w:styleId="div">
    <w:name w:val="div"/>
    <w:basedOn w:val="a"/>
    <w:qFormat/>
  </w:style>
  <w:style w:type="character" w:customStyle="1" w:styleId="custom">
    <w:name w:val="custom"/>
    <w:basedOn w:val="a0"/>
    <w:qFormat/>
  </w:style>
  <w:style w:type="character" w:customStyle="1" w:styleId="custom1">
    <w:name w:val="custom1"/>
    <w:basedOn w:val="a0"/>
    <w:qFormat/>
  </w:style>
  <w:style w:type="character" w:customStyle="1" w:styleId="divCharacter">
    <w:name w:val="div Character"/>
    <w:basedOn w:val="a0"/>
    <w:qFormat/>
  </w:style>
  <w:style w:type="character" w:customStyle="1" w:styleId="serial-tag">
    <w:name w:val="serial-tag"/>
    <w:basedOn w:val="a0"/>
    <w:qFormat/>
  </w:style>
  <w:style w:type="paragraph" w:customStyle="1" w:styleId="p">
    <w:name w:val="p"/>
    <w:basedOn w:val="a"/>
    <w:qFormat/>
  </w:style>
  <w:style w:type="paragraph" w:styleId="afb">
    <w:name w:val="Revision"/>
    <w:hidden/>
    <w:uiPriority w:val="99"/>
    <w:semiHidden/>
    <w:rsid w:val="000B11F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BDD1C-EFCE-4D77-A709-6B200BA40D8F}">
  <ds:schemaRefs>
    <ds:schemaRef ds:uri="http://schemas.openxmlformats.org/officeDocument/2006/bibliography"/>
  </ds:schemaRefs>
</ds:datastoreItem>
</file>

<file path=customXml/itemProps2.xml><?xml version="1.0" encoding="utf-8"?>
<ds:datastoreItem xmlns:ds="http://schemas.openxmlformats.org/officeDocument/2006/customXml" ds:itemID="{98D9B84D-6F39-49E7-B8E2-EE52C5D9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111</Pages>
  <Words>11168</Words>
  <Characters>63660</Characters>
  <Application>Microsoft Office Word</Application>
  <DocSecurity>0</DocSecurity>
  <Lines>530</Lines>
  <Paragraphs>149</Paragraphs>
  <ScaleCrop>false</ScaleCrop>
  <Company/>
  <LinksUpToDate>false</LinksUpToDate>
  <CharactersWithSpaces>74679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ma</dc:creator>
  <cp:lastModifiedBy>李金洋</cp:lastModifiedBy>
  <cp:revision>14</cp:revision>
  <cp:lastPrinted>2026-03-18T03:04:00Z</cp:lastPrinted>
  <dcterms:created xsi:type="dcterms:W3CDTF">2026-03-16T01:34:00Z</dcterms:created>
  <dcterms:modified xsi:type="dcterms:W3CDTF">2026-04-16T01:42:00Z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ED8335844A7F41FDA95929F7C6788282_12</vt:lpwstr>
  </property>
  <property fmtid="{D5CDD505-2E9C-101B-9397-08002B2CF9AE}" pid="3" name="KSOProductBuildVer">
    <vt:lpwstr>2052-12.1.0.24657</vt:lpwstr>
  </property>
  <property fmtid="{D5CDD505-2E9C-101B-9397-08002B2CF9AE}" pid="4" name="KSOTemplateDocerSaveRecord">
    <vt:lpwstr>eyJoZGlkIjoiNDQ0ZWQxNjM1M2JmOWExZjUxOWY5MDUxNGJjOThiOTUiLCJ1c2VySWQiOiIyNTA3NDA1MTEifQ==</vt:lpwstr>
  </property>
</Properties>
</file>