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238A" w14:textId="1C47CB86" w:rsidR="00595296" w:rsidRPr="006F4D70" w:rsidRDefault="00595296">
      <w:pPr>
        <w:autoSpaceDE w:val="0"/>
        <w:autoSpaceDN w:val="0"/>
        <w:adjustRightInd w:val="0"/>
        <w:ind w:firstLine="1044"/>
        <w:rPr>
          <w:rFonts w:asciiTheme="minorEastAsia" w:eastAsiaTheme="minorEastAsia" w:hAnsiTheme="minorEastAsia" w:cs="simsun,bold"/>
          <w:b/>
          <w:bCs/>
          <w:kern w:val="0"/>
          <w:sz w:val="52"/>
          <w:szCs w:val="52"/>
        </w:rPr>
      </w:pPr>
      <w:bookmarkStart w:id="0" w:name="CTS_c7f12bb997584877a86074632450b3e7"/>
      <w:bookmarkStart w:id="1" w:name="CLAUSE_c7f12bb997584877a86074632450b3e7"/>
      <w:bookmarkEnd w:id="0"/>
    </w:p>
    <w:p w14:paraId="1D8DF520"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0"/>
          <w:szCs w:val="44"/>
        </w:rPr>
      </w:pPr>
    </w:p>
    <w:p w14:paraId="6A018AD0" w14:textId="00990D4F" w:rsidR="00595296" w:rsidRPr="006F4D70" w:rsidRDefault="00534656">
      <w:pPr>
        <w:autoSpaceDE w:val="0"/>
        <w:autoSpaceDN w:val="0"/>
        <w:adjustRightInd w:val="0"/>
        <w:ind w:firstLineChars="0" w:firstLine="0"/>
        <w:jc w:val="center"/>
        <w:rPr>
          <w:rFonts w:asciiTheme="minorEastAsia" w:eastAsiaTheme="minorEastAsia" w:hAnsiTheme="minorEastAsia" w:cs="simsun,bold"/>
          <w:b/>
          <w:bCs/>
          <w:kern w:val="0"/>
          <w:sz w:val="40"/>
          <w:szCs w:val="44"/>
        </w:rPr>
      </w:pPr>
      <w:r w:rsidRPr="006F4D70">
        <w:rPr>
          <w:rFonts w:asciiTheme="minorEastAsia" w:eastAsiaTheme="minorEastAsia" w:hAnsiTheme="minorEastAsia" w:cs="simsun,bold" w:hint="eastAsia"/>
          <w:b/>
          <w:bCs/>
          <w:kern w:val="0"/>
          <w:sz w:val="40"/>
          <w:szCs w:val="44"/>
        </w:rPr>
        <w:t>天弘</w:t>
      </w:r>
      <w:r w:rsidR="00570182">
        <w:rPr>
          <w:rFonts w:asciiTheme="minorEastAsia" w:eastAsiaTheme="minorEastAsia" w:hAnsiTheme="minorEastAsia" w:cs="simsun,bold" w:hint="eastAsia"/>
          <w:b/>
          <w:bCs/>
          <w:kern w:val="0"/>
          <w:sz w:val="40"/>
          <w:szCs w:val="44"/>
        </w:rPr>
        <w:t>乾元价值</w:t>
      </w:r>
      <w:r w:rsidRPr="006F4D70">
        <w:rPr>
          <w:rFonts w:asciiTheme="minorEastAsia" w:eastAsiaTheme="minorEastAsia" w:hAnsiTheme="minorEastAsia" w:cs="simsun,bold" w:hint="eastAsia"/>
          <w:b/>
          <w:bCs/>
          <w:kern w:val="0"/>
          <w:sz w:val="40"/>
          <w:szCs w:val="44"/>
        </w:rPr>
        <w:t>混合型</w:t>
      </w:r>
      <w:r w:rsidR="002B7F4D" w:rsidRPr="006F4D70">
        <w:rPr>
          <w:rFonts w:asciiTheme="minorEastAsia" w:eastAsiaTheme="minorEastAsia" w:hAnsiTheme="minorEastAsia" w:cs="simsun,bold" w:hint="eastAsia"/>
          <w:b/>
          <w:bCs/>
          <w:kern w:val="0"/>
          <w:sz w:val="40"/>
          <w:szCs w:val="44"/>
        </w:rPr>
        <w:t>证券投资基金</w:t>
      </w:r>
    </w:p>
    <w:p w14:paraId="5837449F" w14:textId="0AE363D4" w:rsidR="00595296" w:rsidRPr="006F4D70" w:rsidRDefault="002B7F4D">
      <w:pPr>
        <w:autoSpaceDE w:val="0"/>
        <w:autoSpaceDN w:val="0"/>
        <w:adjustRightInd w:val="0"/>
        <w:ind w:firstLineChars="0" w:firstLine="0"/>
        <w:jc w:val="center"/>
        <w:rPr>
          <w:rFonts w:asciiTheme="minorEastAsia" w:eastAsiaTheme="minorEastAsia" w:hAnsiTheme="minorEastAsia" w:cs="simsun,bold"/>
          <w:b/>
          <w:bCs/>
          <w:kern w:val="0"/>
          <w:sz w:val="40"/>
          <w:szCs w:val="44"/>
        </w:rPr>
      </w:pPr>
      <w:r w:rsidRPr="006F4D70">
        <w:rPr>
          <w:rFonts w:asciiTheme="minorEastAsia" w:eastAsiaTheme="minorEastAsia" w:hAnsiTheme="minorEastAsia" w:cs="simsun,bold" w:hint="eastAsia"/>
          <w:b/>
          <w:bCs/>
          <w:kern w:val="0"/>
          <w:sz w:val="40"/>
          <w:szCs w:val="44"/>
        </w:rPr>
        <w:t>基金合同</w:t>
      </w:r>
    </w:p>
    <w:p w14:paraId="5B5079A7"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0"/>
          <w:szCs w:val="40"/>
        </w:rPr>
      </w:pPr>
    </w:p>
    <w:p w14:paraId="3957D91B"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8"/>
          <w:szCs w:val="48"/>
        </w:rPr>
      </w:pPr>
      <w:bookmarkStart w:id="2" w:name="_GoBack"/>
      <w:bookmarkEnd w:id="2"/>
    </w:p>
    <w:p w14:paraId="7A30A7B0"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8"/>
          <w:szCs w:val="48"/>
        </w:rPr>
      </w:pPr>
    </w:p>
    <w:p w14:paraId="379E04B2"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8"/>
          <w:szCs w:val="48"/>
        </w:rPr>
      </w:pPr>
    </w:p>
    <w:p w14:paraId="442700F2"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8"/>
          <w:szCs w:val="48"/>
        </w:rPr>
      </w:pPr>
    </w:p>
    <w:p w14:paraId="275C2D6A"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8"/>
          <w:szCs w:val="48"/>
        </w:rPr>
      </w:pPr>
    </w:p>
    <w:p w14:paraId="16470BC2" w14:textId="77777777" w:rsidR="00595296" w:rsidRPr="006F4D70" w:rsidRDefault="00595296">
      <w:pPr>
        <w:autoSpaceDE w:val="0"/>
        <w:autoSpaceDN w:val="0"/>
        <w:adjustRightInd w:val="0"/>
        <w:ind w:firstLineChars="0" w:firstLine="0"/>
        <w:jc w:val="center"/>
        <w:rPr>
          <w:rFonts w:asciiTheme="minorEastAsia" w:eastAsiaTheme="minorEastAsia" w:hAnsiTheme="minorEastAsia" w:cs="simsun,bold"/>
          <w:b/>
          <w:bCs/>
          <w:kern w:val="0"/>
          <w:sz w:val="48"/>
          <w:szCs w:val="48"/>
        </w:rPr>
      </w:pPr>
    </w:p>
    <w:p w14:paraId="3E9AD98F" w14:textId="77777777" w:rsidR="00595296" w:rsidRPr="006F4D70" w:rsidRDefault="00595296">
      <w:pPr>
        <w:autoSpaceDE w:val="0"/>
        <w:autoSpaceDN w:val="0"/>
        <w:adjustRightInd w:val="0"/>
        <w:ind w:firstLineChars="0" w:firstLine="0"/>
        <w:rPr>
          <w:rFonts w:asciiTheme="minorEastAsia" w:eastAsiaTheme="minorEastAsia" w:hAnsiTheme="minorEastAsia" w:cs="simsun,bold"/>
          <w:b/>
          <w:bCs/>
          <w:kern w:val="0"/>
          <w:sz w:val="48"/>
          <w:szCs w:val="48"/>
        </w:rPr>
      </w:pPr>
    </w:p>
    <w:p w14:paraId="559912BF" w14:textId="5FE3DD69" w:rsidR="00595296" w:rsidRPr="006F4D70" w:rsidRDefault="002B7F4D">
      <w:pPr>
        <w:autoSpaceDE w:val="0"/>
        <w:autoSpaceDN w:val="0"/>
        <w:adjustRightInd w:val="0"/>
        <w:ind w:firstLineChars="0" w:firstLine="0"/>
        <w:jc w:val="center"/>
        <w:rPr>
          <w:rFonts w:asciiTheme="minorEastAsia" w:eastAsiaTheme="minorEastAsia" w:hAnsiTheme="minorEastAsia" w:cs="simsun,bold"/>
          <w:b/>
          <w:bCs/>
          <w:kern w:val="0"/>
          <w:sz w:val="32"/>
          <w:szCs w:val="36"/>
        </w:rPr>
      </w:pPr>
      <w:bookmarkStart w:id="3" w:name="_Toc123112263"/>
      <w:bookmarkStart w:id="4" w:name="_Toc123112224"/>
      <w:bookmarkStart w:id="5" w:name="_Toc139991726"/>
      <w:bookmarkStart w:id="6" w:name="_Toc123701383"/>
      <w:bookmarkStart w:id="7" w:name="_Toc139992301"/>
      <w:r w:rsidRPr="006F4D70">
        <w:rPr>
          <w:rFonts w:asciiTheme="minorEastAsia" w:eastAsiaTheme="minorEastAsia" w:hAnsiTheme="minorEastAsia" w:cs="simsun,bold" w:hint="eastAsia"/>
          <w:b/>
          <w:bCs/>
          <w:kern w:val="0"/>
          <w:sz w:val="32"/>
          <w:szCs w:val="36"/>
        </w:rPr>
        <w:t>基金管理人：</w:t>
      </w:r>
      <w:bookmarkEnd w:id="3"/>
      <w:bookmarkEnd w:id="4"/>
      <w:bookmarkEnd w:id="5"/>
      <w:bookmarkEnd w:id="6"/>
      <w:bookmarkEnd w:id="7"/>
      <w:r w:rsidR="00534656" w:rsidRPr="006F4D70">
        <w:rPr>
          <w:rFonts w:asciiTheme="minorEastAsia" w:eastAsiaTheme="minorEastAsia" w:hAnsiTheme="minorEastAsia" w:cs="simsun,bold" w:hint="eastAsia"/>
          <w:b/>
          <w:bCs/>
          <w:kern w:val="0"/>
          <w:sz w:val="32"/>
          <w:szCs w:val="36"/>
        </w:rPr>
        <w:t>天弘基金管理有限</w:t>
      </w:r>
      <w:r w:rsidR="00DF74D4" w:rsidRPr="006F4D70">
        <w:rPr>
          <w:rFonts w:asciiTheme="minorEastAsia" w:eastAsiaTheme="minorEastAsia" w:hAnsiTheme="minorEastAsia" w:cs="simsun,bold" w:hint="eastAsia"/>
          <w:b/>
          <w:bCs/>
          <w:kern w:val="0"/>
          <w:sz w:val="32"/>
          <w:szCs w:val="36"/>
        </w:rPr>
        <w:t>公司</w:t>
      </w:r>
    </w:p>
    <w:p w14:paraId="6C711462" w14:textId="437CCD28" w:rsidR="00595296" w:rsidRDefault="002B7F4D">
      <w:pPr>
        <w:autoSpaceDE w:val="0"/>
        <w:autoSpaceDN w:val="0"/>
        <w:adjustRightInd w:val="0"/>
        <w:ind w:firstLineChars="0" w:firstLine="0"/>
        <w:jc w:val="center"/>
        <w:rPr>
          <w:rFonts w:asciiTheme="minorEastAsia" w:eastAsiaTheme="minorEastAsia" w:hAnsiTheme="minorEastAsia" w:cs="simsun,bold"/>
          <w:b/>
          <w:bCs/>
          <w:kern w:val="0"/>
          <w:sz w:val="32"/>
          <w:szCs w:val="36"/>
        </w:rPr>
      </w:pPr>
      <w:bookmarkStart w:id="8" w:name="_Toc123112264"/>
      <w:bookmarkStart w:id="9" w:name="_Toc139991727"/>
      <w:bookmarkStart w:id="10" w:name="_Toc123701384"/>
      <w:bookmarkStart w:id="11" w:name="_Toc139992302"/>
      <w:bookmarkStart w:id="12" w:name="_Toc123112225"/>
      <w:r w:rsidRPr="006F4D70">
        <w:rPr>
          <w:rFonts w:asciiTheme="minorEastAsia" w:eastAsiaTheme="minorEastAsia" w:hAnsiTheme="minorEastAsia" w:cs="simsun,bold" w:hint="eastAsia"/>
          <w:b/>
          <w:bCs/>
          <w:kern w:val="0"/>
          <w:sz w:val="32"/>
          <w:szCs w:val="36"/>
        </w:rPr>
        <w:t>基金托管人：</w:t>
      </w:r>
      <w:r w:rsidR="00570182">
        <w:rPr>
          <w:rFonts w:asciiTheme="minorEastAsia" w:eastAsiaTheme="minorEastAsia" w:hAnsiTheme="minorEastAsia" w:cs="simsun,bold" w:hint="eastAsia"/>
          <w:b/>
          <w:bCs/>
          <w:kern w:val="0"/>
          <w:sz w:val="32"/>
          <w:szCs w:val="36"/>
        </w:rPr>
        <w:t>中国建设银行</w:t>
      </w:r>
      <w:r w:rsidRPr="006F4D70">
        <w:rPr>
          <w:rFonts w:asciiTheme="minorEastAsia" w:eastAsiaTheme="minorEastAsia" w:hAnsiTheme="minorEastAsia" w:cs="simsun,bold" w:hint="eastAsia"/>
          <w:b/>
          <w:bCs/>
          <w:kern w:val="0"/>
          <w:sz w:val="32"/>
          <w:szCs w:val="36"/>
        </w:rPr>
        <w:t>股份有限公司</w:t>
      </w:r>
    </w:p>
    <w:p w14:paraId="16E2A501" w14:textId="53E6AC3A" w:rsidR="00A71FD7" w:rsidRPr="006F4D70" w:rsidRDefault="00A71FD7">
      <w:pPr>
        <w:autoSpaceDE w:val="0"/>
        <w:autoSpaceDN w:val="0"/>
        <w:adjustRightInd w:val="0"/>
        <w:ind w:firstLineChars="0" w:firstLine="0"/>
        <w:jc w:val="center"/>
        <w:rPr>
          <w:rFonts w:asciiTheme="minorEastAsia" w:eastAsiaTheme="minorEastAsia" w:hAnsiTheme="minorEastAsia" w:cs="simsun,bold"/>
          <w:b/>
          <w:bCs/>
          <w:kern w:val="0"/>
          <w:sz w:val="32"/>
          <w:szCs w:val="36"/>
        </w:rPr>
      </w:pPr>
      <w:r w:rsidRPr="00B2583F">
        <w:rPr>
          <w:rFonts w:asciiTheme="minorEastAsia" w:eastAsiaTheme="minorEastAsia" w:hAnsiTheme="minorEastAsia" w:cs="simsun,bold"/>
          <w:b/>
          <w:bCs/>
          <w:kern w:val="0"/>
          <w:sz w:val="32"/>
          <w:szCs w:val="36"/>
        </w:rPr>
        <w:t>二零</w:t>
      </w:r>
      <w:r w:rsidRPr="00B2583F">
        <w:rPr>
          <w:rFonts w:asciiTheme="minorEastAsia" w:eastAsiaTheme="minorEastAsia" w:hAnsiTheme="minorEastAsia" w:cs="simsun,bold" w:hint="eastAsia"/>
          <w:b/>
          <w:bCs/>
          <w:kern w:val="0"/>
          <w:sz w:val="32"/>
          <w:szCs w:val="36"/>
        </w:rPr>
        <w:t>二</w:t>
      </w:r>
      <w:r w:rsidR="009E1913">
        <w:rPr>
          <w:rFonts w:asciiTheme="minorEastAsia" w:eastAsiaTheme="minorEastAsia" w:hAnsiTheme="minorEastAsia" w:cs="simsun,bold" w:hint="eastAsia"/>
          <w:b/>
          <w:bCs/>
          <w:kern w:val="0"/>
          <w:sz w:val="32"/>
          <w:szCs w:val="36"/>
        </w:rPr>
        <w:t>六</w:t>
      </w:r>
      <w:r w:rsidRPr="00B2583F">
        <w:rPr>
          <w:rFonts w:asciiTheme="minorEastAsia" w:eastAsiaTheme="minorEastAsia" w:hAnsiTheme="minorEastAsia" w:cs="simsun,bold" w:hint="eastAsia"/>
          <w:b/>
          <w:bCs/>
          <w:kern w:val="0"/>
          <w:sz w:val="32"/>
          <w:szCs w:val="36"/>
        </w:rPr>
        <w:t>年</w:t>
      </w:r>
      <w:r w:rsidR="00F07819">
        <w:rPr>
          <w:rFonts w:asciiTheme="minorEastAsia" w:eastAsiaTheme="minorEastAsia" w:hAnsiTheme="minorEastAsia" w:cs="simsun,bold" w:hint="eastAsia"/>
          <w:b/>
          <w:bCs/>
          <w:kern w:val="0"/>
          <w:sz w:val="32"/>
          <w:szCs w:val="36"/>
        </w:rPr>
        <w:t>一</w:t>
      </w:r>
      <w:r w:rsidRPr="00B2583F">
        <w:rPr>
          <w:rFonts w:asciiTheme="minorEastAsia" w:eastAsiaTheme="minorEastAsia" w:hAnsiTheme="minorEastAsia" w:cs="simsun,bold"/>
          <w:b/>
          <w:bCs/>
          <w:kern w:val="0"/>
          <w:sz w:val="32"/>
          <w:szCs w:val="36"/>
        </w:rPr>
        <w:t>月</w:t>
      </w:r>
    </w:p>
    <w:p w14:paraId="12FC3A0A" w14:textId="5A0C06BC" w:rsidR="00595296" w:rsidRPr="006F4D70" w:rsidRDefault="002B7F4D" w:rsidP="005B166F">
      <w:pPr>
        <w:ind w:firstLineChars="0" w:firstLine="0"/>
        <w:rPr>
          <w:rFonts w:asciiTheme="minorEastAsia" w:eastAsiaTheme="minorEastAsia" w:hAnsiTheme="minorEastAsia"/>
          <w:sz w:val="30"/>
          <w:szCs w:val="30"/>
        </w:rPr>
      </w:pPr>
      <w:r w:rsidRPr="006F4D70">
        <w:rPr>
          <w:rFonts w:asciiTheme="minorEastAsia" w:eastAsiaTheme="minorEastAsia" w:hAnsiTheme="minorEastAsia"/>
        </w:rPr>
        <w:br w:type="page"/>
      </w:r>
    </w:p>
    <w:p w14:paraId="728CB37A" w14:textId="77777777" w:rsidR="00595296" w:rsidRPr="006F4D70" w:rsidRDefault="002B7F4D">
      <w:pPr>
        <w:widowControl/>
        <w:ind w:firstLineChars="0" w:firstLine="0"/>
        <w:jc w:val="center"/>
        <w:rPr>
          <w:rFonts w:asciiTheme="minorEastAsia" w:eastAsiaTheme="minorEastAsia" w:hAnsiTheme="minorEastAsia"/>
          <w:b/>
          <w:sz w:val="30"/>
          <w:szCs w:val="30"/>
          <w:lang w:val="zh-CN"/>
        </w:rPr>
      </w:pPr>
      <w:r w:rsidRPr="006F4D70">
        <w:rPr>
          <w:rFonts w:asciiTheme="minorEastAsia" w:eastAsiaTheme="minorEastAsia" w:hAnsiTheme="minorEastAsia" w:hint="eastAsia"/>
          <w:b/>
          <w:sz w:val="30"/>
          <w:szCs w:val="30"/>
          <w:lang w:val="zh-CN"/>
        </w:rPr>
        <w:lastRenderedPageBreak/>
        <w:t>目录</w:t>
      </w:r>
    </w:p>
    <w:p w14:paraId="1ACE33A7" w14:textId="77777777" w:rsidR="00595296" w:rsidRPr="006F4D70" w:rsidRDefault="00595296">
      <w:pPr>
        <w:widowControl/>
        <w:ind w:firstLineChars="0" w:firstLine="0"/>
        <w:jc w:val="center"/>
        <w:rPr>
          <w:rFonts w:asciiTheme="minorEastAsia" w:eastAsiaTheme="minorEastAsia" w:hAnsiTheme="minorEastAsia"/>
          <w:b/>
          <w:sz w:val="30"/>
          <w:szCs w:val="30"/>
          <w:lang w:val="zh-CN"/>
        </w:rPr>
      </w:pPr>
    </w:p>
    <w:bookmarkStart w:id="13" w:name="_Toc32639"/>
    <w:bookmarkStart w:id="14" w:name="_Toc11660"/>
    <w:bookmarkStart w:id="15" w:name="_Toc29629"/>
    <w:bookmarkStart w:id="16" w:name="_Toc8727"/>
    <w:bookmarkStart w:id="17" w:name="_Toc15517"/>
    <w:bookmarkStart w:id="18" w:name="_Toc30935"/>
    <w:bookmarkStart w:id="19" w:name="_Toc4867"/>
    <w:bookmarkStart w:id="20" w:name="_Toc6306"/>
    <w:bookmarkStart w:id="21" w:name="_Toc4966"/>
    <w:bookmarkStart w:id="22" w:name="_Toc23386"/>
    <w:bookmarkStart w:id="23" w:name="_Toc141703880"/>
    <w:bookmarkStart w:id="24" w:name="_Toc139991730"/>
    <w:bookmarkStart w:id="25" w:name="_Toc26897"/>
    <w:bookmarkStart w:id="26" w:name="_Toc123112229"/>
    <w:bookmarkStart w:id="27" w:name="_Toc123701389"/>
    <w:bookmarkStart w:id="28" w:name="_Toc123112268"/>
    <w:bookmarkStart w:id="29" w:name="_Toc233456271"/>
    <w:bookmarkEnd w:id="8"/>
    <w:bookmarkEnd w:id="9"/>
    <w:bookmarkEnd w:id="10"/>
    <w:bookmarkEnd w:id="11"/>
    <w:bookmarkEnd w:id="12"/>
    <w:p w14:paraId="1D779567" w14:textId="214662E7" w:rsidR="002B1431" w:rsidRPr="005B166F" w:rsidRDefault="002B7F4D">
      <w:pPr>
        <w:pStyle w:val="11"/>
        <w:ind w:firstLine="480"/>
        <w:rPr>
          <w:rFonts w:ascii="宋体" w:hAnsi="宋体" w:cstheme="minorBidi"/>
          <w:noProof/>
          <w:sz w:val="21"/>
        </w:rPr>
      </w:pPr>
      <w:r w:rsidRPr="006F4D70">
        <w:rPr>
          <w:rFonts w:asciiTheme="minorEastAsia" w:eastAsiaTheme="minorEastAsia" w:hAnsiTheme="minorEastAsia"/>
          <w:kern w:val="0"/>
          <w:szCs w:val="24"/>
        </w:rPr>
        <w:fldChar w:fldCharType="begin"/>
      </w:r>
      <w:r w:rsidRPr="006F4D70">
        <w:rPr>
          <w:rFonts w:asciiTheme="minorEastAsia" w:eastAsiaTheme="minorEastAsia" w:hAnsiTheme="minorEastAsia"/>
          <w:kern w:val="0"/>
          <w:szCs w:val="24"/>
        </w:rPr>
        <w:instrText xml:space="preserve"> TOC \o "1-1" \h \z \u </w:instrText>
      </w:r>
      <w:r w:rsidRPr="006F4D70">
        <w:rPr>
          <w:rFonts w:asciiTheme="minorEastAsia" w:eastAsiaTheme="minorEastAsia" w:hAnsiTheme="minorEastAsia"/>
          <w:kern w:val="0"/>
          <w:szCs w:val="24"/>
        </w:rPr>
        <w:fldChar w:fldCharType="separate"/>
      </w:r>
      <w:hyperlink w:anchor="_Toc198902613" w:history="1">
        <w:r w:rsidR="002B1431" w:rsidRPr="005B166F">
          <w:rPr>
            <w:rStyle w:val="afd"/>
            <w:rFonts w:ascii="宋体" w:hAnsi="宋体"/>
            <w:noProof/>
          </w:rPr>
          <w:t>第一部分    前言</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_Toc198902613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3</w:t>
        </w:r>
        <w:r w:rsidR="002B1431" w:rsidRPr="005B166F">
          <w:rPr>
            <w:rFonts w:ascii="宋体" w:hAnsi="宋体"/>
            <w:noProof/>
            <w:webHidden/>
          </w:rPr>
          <w:fldChar w:fldCharType="end"/>
        </w:r>
      </w:hyperlink>
    </w:p>
    <w:p w14:paraId="0FAB507C" w14:textId="24737129" w:rsidR="002B1431" w:rsidRPr="005B166F" w:rsidRDefault="000C1A8C">
      <w:pPr>
        <w:pStyle w:val="11"/>
        <w:ind w:firstLine="480"/>
        <w:rPr>
          <w:rFonts w:ascii="宋体" w:hAnsi="宋体" w:cstheme="minorBidi"/>
          <w:noProof/>
          <w:sz w:val="21"/>
        </w:rPr>
      </w:pPr>
      <w:hyperlink w:anchor="_Toc198902614" w:history="1">
        <w:r w:rsidR="002B1431" w:rsidRPr="005B166F">
          <w:rPr>
            <w:rStyle w:val="afd"/>
            <w:rFonts w:ascii="宋体" w:hAnsi="宋体"/>
            <w:noProof/>
          </w:rPr>
          <w:t>第二部分    释义</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_Toc198902614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6</w:t>
        </w:r>
        <w:r w:rsidR="002B1431" w:rsidRPr="005B166F">
          <w:rPr>
            <w:rFonts w:ascii="宋体" w:hAnsi="宋体"/>
            <w:noProof/>
            <w:webHidden/>
          </w:rPr>
          <w:fldChar w:fldCharType="end"/>
        </w:r>
      </w:hyperlink>
    </w:p>
    <w:p w14:paraId="3A3B6423" w14:textId="7BC8ED02" w:rsidR="002B1431" w:rsidRPr="005B166F" w:rsidRDefault="000C1A8C">
      <w:pPr>
        <w:pStyle w:val="11"/>
        <w:ind w:firstLine="480"/>
        <w:rPr>
          <w:rFonts w:ascii="宋体" w:hAnsi="宋体" w:cstheme="minorBidi"/>
          <w:noProof/>
          <w:sz w:val="21"/>
        </w:rPr>
      </w:pPr>
      <w:hyperlink w:anchor="_Toc198902615" w:history="1">
        <w:r w:rsidR="002B1431" w:rsidRPr="005B166F">
          <w:rPr>
            <w:rStyle w:val="afd"/>
            <w:rFonts w:ascii="宋体" w:hAnsi="宋体"/>
            <w:noProof/>
          </w:rPr>
          <w:t>第三部分    基金的基本情况</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_Toc198902615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12</w:t>
        </w:r>
        <w:r w:rsidR="002B1431" w:rsidRPr="005B166F">
          <w:rPr>
            <w:rFonts w:ascii="宋体" w:hAnsi="宋体"/>
            <w:noProof/>
            <w:webHidden/>
          </w:rPr>
          <w:fldChar w:fldCharType="end"/>
        </w:r>
      </w:hyperlink>
    </w:p>
    <w:p w14:paraId="137D6A4F" w14:textId="663971FE" w:rsidR="002B1431" w:rsidRPr="005B166F" w:rsidRDefault="000C1A8C">
      <w:pPr>
        <w:pStyle w:val="11"/>
        <w:ind w:firstLine="480"/>
        <w:rPr>
          <w:rFonts w:ascii="宋体" w:hAnsi="宋体" w:cstheme="minorBidi"/>
          <w:noProof/>
          <w:sz w:val="21"/>
        </w:rPr>
      </w:pPr>
      <w:hyperlink w:anchor="_Toc198902616" w:history="1">
        <w:r w:rsidR="002B1431" w:rsidRPr="005B166F">
          <w:rPr>
            <w:rStyle w:val="afd"/>
            <w:rFonts w:ascii="宋体" w:hAnsi="宋体"/>
            <w:noProof/>
            <w:kern w:val="0"/>
          </w:rPr>
          <w:t>第四部分    基金份额的发售</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_Toc198902616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14</w:t>
        </w:r>
        <w:r w:rsidR="002B1431" w:rsidRPr="005B166F">
          <w:rPr>
            <w:rFonts w:ascii="宋体" w:hAnsi="宋体"/>
            <w:noProof/>
            <w:webHidden/>
          </w:rPr>
          <w:fldChar w:fldCharType="end"/>
        </w:r>
      </w:hyperlink>
    </w:p>
    <w:p w14:paraId="4D641923" w14:textId="44D6F850" w:rsidR="002B1431" w:rsidRPr="005B166F" w:rsidRDefault="000C1A8C">
      <w:pPr>
        <w:pStyle w:val="11"/>
        <w:ind w:firstLine="480"/>
        <w:rPr>
          <w:rFonts w:ascii="宋体" w:hAnsi="宋体" w:cstheme="minorBidi"/>
          <w:noProof/>
          <w:sz w:val="21"/>
        </w:rPr>
      </w:pPr>
      <w:hyperlink w:anchor="_Toc198902617" w:history="1">
        <w:r w:rsidR="002B1431" w:rsidRPr="005B166F">
          <w:rPr>
            <w:rStyle w:val="afd"/>
            <w:rFonts w:ascii="宋体" w:hAnsi="宋体"/>
            <w:noProof/>
            <w:kern w:val="0"/>
          </w:rPr>
          <w:t>第五部分    基金备案</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_Toc198902617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16</w:t>
        </w:r>
        <w:r w:rsidR="002B1431" w:rsidRPr="005B166F">
          <w:rPr>
            <w:rFonts w:ascii="宋体" w:hAnsi="宋体"/>
            <w:noProof/>
            <w:webHidden/>
          </w:rPr>
          <w:fldChar w:fldCharType="end"/>
        </w:r>
      </w:hyperlink>
    </w:p>
    <w:p w14:paraId="142535A6" w14:textId="0600E324" w:rsidR="002B1431" w:rsidRPr="005B166F" w:rsidRDefault="000C1A8C">
      <w:pPr>
        <w:pStyle w:val="11"/>
        <w:ind w:firstLine="480"/>
        <w:rPr>
          <w:rFonts w:ascii="宋体" w:hAnsi="宋体" w:cstheme="minorBidi"/>
          <w:noProof/>
          <w:sz w:val="21"/>
        </w:rPr>
      </w:pPr>
      <w:hyperlink w:anchor="_Toc198902618" w:history="1">
        <w:r w:rsidR="002B1431" w:rsidRPr="005B166F">
          <w:rPr>
            <w:rStyle w:val="afd"/>
            <w:rFonts w:ascii="宋体" w:hAnsi="宋体"/>
            <w:noProof/>
            <w:kern w:val="0"/>
          </w:rPr>
          <w:t>第六部分    基金份额的申购与赎回</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_Toc198902618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18</w:t>
        </w:r>
        <w:r w:rsidR="002B1431" w:rsidRPr="005B166F">
          <w:rPr>
            <w:rFonts w:ascii="宋体" w:hAnsi="宋体"/>
            <w:noProof/>
            <w:webHidden/>
          </w:rPr>
          <w:fldChar w:fldCharType="end"/>
        </w:r>
      </w:hyperlink>
    </w:p>
    <w:p w14:paraId="7287E44A" w14:textId="6B1699E4" w:rsidR="002B1431" w:rsidRPr="005B166F" w:rsidRDefault="000C1A8C">
      <w:pPr>
        <w:pStyle w:val="11"/>
        <w:ind w:firstLine="480"/>
        <w:rPr>
          <w:rFonts w:ascii="宋体" w:hAnsi="宋体" w:cstheme="minorBidi"/>
          <w:noProof/>
          <w:sz w:val="21"/>
        </w:rPr>
      </w:pPr>
      <w:hyperlink w:anchor="_Toc198902619" w:history="1">
        <w:r w:rsidR="002B1431" w:rsidRPr="005B166F">
          <w:rPr>
            <w:rStyle w:val="afd"/>
            <w:rFonts w:ascii="宋体" w:hAnsi="宋体"/>
            <w:noProof/>
            <w:kern w:val="0"/>
          </w:rPr>
          <w:t>第七部分    基金合同当事人及权利义务</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_Toc198902619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28</w:t>
        </w:r>
        <w:r w:rsidR="002B1431" w:rsidRPr="005B166F">
          <w:rPr>
            <w:rFonts w:ascii="宋体" w:hAnsi="宋体"/>
            <w:noProof/>
            <w:webHidden/>
          </w:rPr>
          <w:fldChar w:fldCharType="end"/>
        </w:r>
      </w:hyperlink>
    </w:p>
    <w:p w14:paraId="624DD38E" w14:textId="5D1ABA69" w:rsidR="002B1431" w:rsidRPr="005B166F" w:rsidRDefault="000C1A8C">
      <w:pPr>
        <w:pStyle w:val="11"/>
        <w:ind w:firstLine="480"/>
        <w:rPr>
          <w:rFonts w:ascii="宋体" w:hAnsi="宋体" w:cstheme="minorBidi"/>
          <w:noProof/>
          <w:sz w:val="21"/>
        </w:rPr>
      </w:pPr>
      <w:hyperlink w:anchor="_Toc198902620" w:history="1">
        <w:r w:rsidR="002B1431" w:rsidRPr="005B166F">
          <w:rPr>
            <w:rStyle w:val="afd"/>
            <w:rFonts w:ascii="宋体" w:hAnsi="宋体"/>
            <w:noProof/>
            <w:kern w:val="0"/>
          </w:rPr>
          <w:t>第八部分    基金份额持有人大会</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_Toc198902620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36</w:t>
        </w:r>
        <w:r w:rsidR="002B1431" w:rsidRPr="005B166F">
          <w:rPr>
            <w:rFonts w:ascii="宋体" w:hAnsi="宋体"/>
            <w:noProof/>
            <w:webHidden/>
          </w:rPr>
          <w:fldChar w:fldCharType="end"/>
        </w:r>
      </w:hyperlink>
    </w:p>
    <w:p w14:paraId="5EB9E559" w14:textId="656E2E47" w:rsidR="002B1431" w:rsidRPr="005B166F" w:rsidRDefault="000C1A8C">
      <w:pPr>
        <w:pStyle w:val="11"/>
        <w:ind w:firstLine="480"/>
        <w:rPr>
          <w:rFonts w:ascii="宋体" w:hAnsi="宋体" w:cstheme="minorBidi"/>
          <w:noProof/>
          <w:sz w:val="21"/>
        </w:rPr>
      </w:pPr>
      <w:hyperlink w:anchor="_Toc198902621" w:history="1">
        <w:r w:rsidR="002B1431" w:rsidRPr="005B166F">
          <w:rPr>
            <w:rStyle w:val="afd"/>
            <w:rFonts w:ascii="宋体" w:hAnsi="宋体"/>
            <w:noProof/>
          </w:rPr>
          <w:t>第九部分    基金管理人、基金托管人的更换条件和程序</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_Toc198902621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45</w:t>
        </w:r>
        <w:r w:rsidR="002B1431" w:rsidRPr="005B166F">
          <w:rPr>
            <w:rFonts w:ascii="宋体" w:hAnsi="宋体"/>
            <w:noProof/>
            <w:webHidden/>
          </w:rPr>
          <w:fldChar w:fldCharType="end"/>
        </w:r>
      </w:hyperlink>
    </w:p>
    <w:p w14:paraId="1CA05D5A" w14:textId="4EF2355B" w:rsidR="002B1431" w:rsidRPr="005B166F" w:rsidRDefault="000C1A8C">
      <w:pPr>
        <w:pStyle w:val="11"/>
        <w:ind w:firstLine="480"/>
        <w:rPr>
          <w:rFonts w:ascii="宋体" w:hAnsi="宋体" w:cstheme="minorBidi"/>
          <w:noProof/>
          <w:sz w:val="21"/>
        </w:rPr>
      </w:pPr>
      <w:hyperlink w:anchor="_Toc198902622" w:history="1">
        <w:r w:rsidR="002B1431" w:rsidRPr="005B166F">
          <w:rPr>
            <w:rStyle w:val="afd"/>
            <w:rFonts w:ascii="宋体" w:hAnsi="宋体"/>
            <w:noProof/>
          </w:rPr>
          <w:t>第十部分    基金的托管</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_Toc198902622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48</w:t>
        </w:r>
        <w:r w:rsidR="002B1431" w:rsidRPr="005B166F">
          <w:rPr>
            <w:rFonts w:ascii="宋体" w:hAnsi="宋体"/>
            <w:noProof/>
            <w:webHidden/>
          </w:rPr>
          <w:fldChar w:fldCharType="end"/>
        </w:r>
      </w:hyperlink>
    </w:p>
    <w:p w14:paraId="4F2A0D40" w14:textId="3CF5BC8D" w:rsidR="002B1431" w:rsidRPr="005B166F" w:rsidRDefault="000C1A8C">
      <w:pPr>
        <w:pStyle w:val="11"/>
        <w:ind w:firstLine="480"/>
        <w:rPr>
          <w:rFonts w:ascii="宋体" w:hAnsi="宋体" w:cstheme="minorBidi"/>
          <w:noProof/>
          <w:sz w:val="21"/>
        </w:rPr>
      </w:pPr>
      <w:hyperlink w:anchor="_Toc198902623" w:history="1">
        <w:r w:rsidR="002B1431" w:rsidRPr="005B166F">
          <w:rPr>
            <w:rStyle w:val="afd"/>
            <w:rFonts w:ascii="宋体" w:hAnsi="宋体"/>
            <w:noProof/>
            <w:kern w:val="0"/>
          </w:rPr>
          <w:t>第十一部分    基金份额的登记</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_Toc198902623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49</w:t>
        </w:r>
        <w:r w:rsidR="002B1431" w:rsidRPr="005B166F">
          <w:rPr>
            <w:rFonts w:ascii="宋体" w:hAnsi="宋体"/>
            <w:noProof/>
            <w:webHidden/>
          </w:rPr>
          <w:fldChar w:fldCharType="end"/>
        </w:r>
      </w:hyperlink>
    </w:p>
    <w:p w14:paraId="1B4B3C00" w14:textId="3A4F348E" w:rsidR="002B1431" w:rsidRPr="005B166F" w:rsidRDefault="000C1A8C">
      <w:pPr>
        <w:pStyle w:val="11"/>
        <w:ind w:firstLine="480"/>
        <w:rPr>
          <w:rFonts w:ascii="宋体" w:hAnsi="宋体" w:cstheme="minorBidi"/>
          <w:noProof/>
          <w:sz w:val="21"/>
        </w:rPr>
      </w:pPr>
      <w:hyperlink w:anchor="_Toc198902624" w:history="1">
        <w:r w:rsidR="002B1431" w:rsidRPr="005B166F">
          <w:rPr>
            <w:rStyle w:val="afd"/>
            <w:rFonts w:ascii="宋体" w:hAnsi="宋体"/>
            <w:noProof/>
            <w:kern w:val="0"/>
          </w:rPr>
          <w:t>第十二部分    基金的投资</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_Toc198902624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51</w:t>
        </w:r>
        <w:r w:rsidR="002B1431" w:rsidRPr="005B166F">
          <w:rPr>
            <w:rFonts w:ascii="宋体" w:hAnsi="宋体"/>
            <w:noProof/>
            <w:webHidden/>
          </w:rPr>
          <w:fldChar w:fldCharType="end"/>
        </w:r>
      </w:hyperlink>
    </w:p>
    <w:p w14:paraId="3049871F" w14:textId="0BA0026E" w:rsidR="002B1431" w:rsidRPr="005B166F" w:rsidRDefault="000C1A8C">
      <w:pPr>
        <w:pStyle w:val="11"/>
        <w:ind w:firstLine="480"/>
        <w:rPr>
          <w:rFonts w:ascii="宋体" w:hAnsi="宋体" w:cstheme="minorBidi"/>
          <w:noProof/>
          <w:sz w:val="21"/>
        </w:rPr>
      </w:pPr>
      <w:hyperlink w:anchor="_Toc198902625" w:history="1">
        <w:r w:rsidR="002B1431" w:rsidRPr="005B166F">
          <w:rPr>
            <w:rStyle w:val="afd"/>
            <w:rFonts w:ascii="宋体" w:hAnsi="宋体"/>
            <w:noProof/>
            <w:kern w:val="0"/>
          </w:rPr>
          <w:t>第十三部分    基金的财产</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_Toc198902625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61</w:t>
        </w:r>
        <w:r w:rsidR="002B1431" w:rsidRPr="005B166F">
          <w:rPr>
            <w:rFonts w:ascii="宋体" w:hAnsi="宋体"/>
            <w:noProof/>
            <w:webHidden/>
          </w:rPr>
          <w:fldChar w:fldCharType="end"/>
        </w:r>
      </w:hyperlink>
    </w:p>
    <w:p w14:paraId="0FD16FCE" w14:textId="1489FD72" w:rsidR="002B1431" w:rsidRPr="005B166F" w:rsidRDefault="000C1A8C">
      <w:pPr>
        <w:pStyle w:val="11"/>
        <w:ind w:firstLine="480"/>
        <w:rPr>
          <w:rFonts w:ascii="宋体" w:hAnsi="宋体" w:cstheme="minorBidi"/>
          <w:noProof/>
          <w:sz w:val="21"/>
        </w:rPr>
      </w:pPr>
      <w:hyperlink w:anchor="_Toc198902626" w:history="1">
        <w:r w:rsidR="002B1431" w:rsidRPr="005B166F">
          <w:rPr>
            <w:rStyle w:val="afd"/>
            <w:rFonts w:ascii="宋体" w:hAnsi="宋体"/>
            <w:noProof/>
            <w:kern w:val="0"/>
          </w:rPr>
          <w:t>第十四部分    基金资产估值</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_Toc198902626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62</w:t>
        </w:r>
        <w:r w:rsidR="002B1431" w:rsidRPr="005B166F">
          <w:rPr>
            <w:rFonts w:ascii="宋体" w:hAnsi="宋体"/>
            <w:noProof/>
            <w:webHidden/>
          </w:rPr>
          <w:fldChar w:fldCharType="end"/>
        </w:r>
      </w:hyperlink>
    </w:p>
    <w:p w14:paraId="70BAE682" w14:textId="0CCCBCD5" w:rsidR="002B1431" w:rsidRPr="005B166F" w:rsidRDefault="000C1A8C">
      <w:pPr>
        <w:pStyle w:val="11"/>
        <w:ind w:firstLine="480"/>
        <w:rPr>
          <w:rFonts w:ascii="宋体" w:hAnsi="宋体" w:cstheme="minorBidi"/>
          <w:noProof/>
          <w:sz w:val="21"/>
        </w:rPr>
      </w:pPr>
      <w:hyperlink w:anchor="_Toc198902627" w:history="1">
        <w:r w:rsidR="002B1431" w:rsidRPr="005B166F">
          <w:rPr>
            <w:rStyle w:val="afd"/>
            <w:rFonts w:ascii="宋体" w:hAnsi="宋体"/>
            <w:noProof/>
            <w:kern w:val="0"/>
          </w:rPr>
          <w:t>第十五部分    基金费用与税收</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_Toc198902627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70</w:t>
        </w:r>
        <w:r w:rsidR="002B1431" w:rsidRPr="005B166F">
          <w:rPr>
            <w:rFonts w:ascii="宋体" w:hAnsi="宋体"/>
            <w:noProof/>
            <w:webHidden/>
          </w:rPr>
          <w:fldChar w:fldCharType="end"/>
        </w:r>
      </w:hyperlink>
    </w:p>
    <w:p w14:paraId="4D29FDAA" w14:textId="2574F69F" w:rsidR="002B1431" w:rsidRPr="005B166F" w:rsidRDefault="000C1A8C">
      <w:pPr>
        <w:pStyle w:val="11"/>
        <w:ind w:firstLine="480"/>
        <w:rPr>
          <w:rFonts w:ascii="宋体" w:hAnsi="宋体" w:cstheme="minorBidi"/>
          <w:noProof/>
          <w:sz w:val="21"/>
        </w:rPr>
      </w:pPr>
      <w:hyperlink w:anchor="_Toc198902628" w:history="1">
        <w:r w:rsidR="002B1431" w:rsidRPr="005B166F">
          <w:rPr>
            <w:rStyle w:val="afd"/>
            <w:rFonts w:ascii="宋体" w:hAnsi="宋体"/>
            <w:noProof/>
            <w:kern w:val="0"/>
          </w:rPr>
          <w:t>第十六部分    基金的收益与分配</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_Toc198902628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76</w:t>
        </w:r>
        <w:r w:rsidR="002B1431" w:rsidRPr="005B166F">
          <w:rPr>
            <w:rFonts w:ascii="宋体" w:hAnsi="宋体"/>
            <w:noProof/>
            <w:webHidden/>
          </w:rPr>
          <w:fldChar w:fldCharType="end"/>
        </w:r>
      </w:hyperlink>
    </w:p>
    <w:p w14:paraId="5EF54716" w14:textId="1325F0EE" w:rsidR="002B1431" w:rsidRPr="005B166F" w:rsidRDefault="000C1A8C">
      <w:pPr>
        <w:pStyle w:val="11"/>
        <w:ind w:firstLine="480"/>
        <w:rPr>
          <w:rFonts w:ascii="宋体" w:hAnsi="宋体" w:cstheme="minorBidi"/>
          <w:noProof/>
          <w:sz w:val="21"/>
        </w:rPr>
      </w:pPr>
      <w:hyperlink w:anchor="_Toc198902629" w:history="1">
        <w:r w:rsidR="002B1431" w:rsidRPr="005B166F">
          <w:rPr>
            <w:rStyle w:val="afd"/>
            <w:rFonts w:ascii="宋体" w:hAnsi="宋体"/>
            <w:noProof/>
            <w:kern w:val="0"/>
          </w:rPr>
          <w:t>第十七部分    基金的会计与审计</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_Toc198902629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78</w:t>
        </w:r>
        <w:r w:rsidR="002B1431" w:rsidRPr="005B166F">
          <w:rPr>
            <w:rFonts w:ascii="宋体" w:hAnsi="宋体"/>
            <w:noProof/>
            <w:webHidden/>
          </w:rPr>
          <w:fldChar w:fldCharType="end"/>
        </w:r>
      </w:hyperlink>
    </w:p>
    <w:p w14:paraId="02B4F927" w14:textId="319892A9" w:rsidR="002B1431" w:rsidRPr="005B166F" w:rsidRDefault="000C1A8C">
      <w:pPr>
        <w:pStyle w:val="11"/>
        <w:ind w:firstLine="480"/>
        <w:rPr>
          <w:rFonts w:ascii="宋体" w:hAnsi="宋体" w:cstheme="minorBidi"/>
          <w:noProof/>
          <w:sz w:val="21"/>
        </w:rPr>
      </w:pPr>
      <w:hyperlink w:anchor="_Toc198902630" w:history="1">
        <w:r w:rsidR="002B1431" w:rsidRPr="005B166F">
          <w:rPr>
            <w:rStyle w:val="afd"/>
            <w:rFonts w:ascii="宋体" w:hAnsi="宋体"/>
            <w:noProof/>
            <w:kern w:val="0"/>
          </w:rPr>
          <w:t>第十八部分    基金的信息披露</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_Toc198902630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79</w:t>
        </w:r>
        <w:r w:rsidR="002B1431" w:rsidRPr="005B166F">
          <w:rPr>
            <w:rFonts w:ascii="宋体" w:hAnsi="宋体"/>
            <w:noProof/>
            <w:webHidden/>
          </w:rPr>
          <w:fldChar w:fldCharType="end"/>
        </w:r>
      </w:hyperlink>
    </w:p>
    <w:p w14:paraId="73C6FEB1" w14:textId="453F19B6" w:rsidR="002B1431" w:rsidRPr="005B166F" w:rsidRDefault="000C1A8C">
      <w:pPr>
        <w:pStyle w:val="11"/>
        <w:ind w:firstLine="480"/>
        <w:rPr>
          <w:rFonts w:ascii="宋体" w:hAnsi="宋体" w:cstheme="minorBidi"/>
          <w:noProof/>
          <w:sz w:val="21"/>
        </w:rPr>
      </w:pPr>
      <w:hyperlink w:anchor="_Toc198902631" w:history="1">
        <w:r w:rsidR="002B1431" w:rsidRPr="005B166F">
          <w:rPr>
            <w:rStyle w:val="afd"/>
            <w:rFonts w:ascii="宋体" w:hAnsi="宋体"/>
            <w:noProof/>
            <w:kern w:val="0"/>
          </w:rPr>
          <w:t>第十九部分    基金合同的变更、终止与基金财产的清算</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_Toc198902631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87</w:t>
        </w:r>
        <w:r w:rsidR="002B1431" w:rsidRPr="005B166F">
          <w:rPr>
            <w:rFonts w:ascii="宋体" w:hAnsi="宋体"/>
            <w:noProof/>
            <w:webHidden/>
          </w:rPr>
          <w:fldChar w:fldCharType="end"/>
        </w:r>
      </w:hyperlink>
    </w:p>
    <w:p w14:paraId="3425CEFB" w14:textId="20CA3D6D" w:rsidR="002B1431" w:rsidRPr="005B166F" w:rsidRDefault="000C1A8C">
      <w:pPr>
        <w:pStyle w:val="11"/>
        <w:ind w:firstLine="480"/>
        <w:rPr>
          <w:rFonts w:ascii="宋体" w:hAnsi="宋体" w:cstheme="minorBidi"/>
          <w:noProof/>
          <w:sz w:val="21"/>
        </w:rPr>
      </w:pPr>
      <w:hyperlink w:anchor="_Toc198902632" w:history="1">
        <w:r w:rsidR="002B1431" w:rsidRPr="005B166F">
          <w:rPr>
            <w:rStyle w:val="afd"/>
            <w:rFonts w:ascii="宋体" w:hAnsi="宋体"/>
            <w:noProof/>
            <w:kern w:val="0"/>
          </w:rPr>
          <w:t>第二十部分    违约责任</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_Toc198902632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90</w:t>
        </w:r>
        <w:r w:rsidR="002B1431" w:rsidRPr="005B166F">
          <w:rPr>
            <w:rFonts w:ascii="宋体" w:hAnsi="宋体"/>
            <w:noProof/>
            <w:webHidden/>
          </w:rPr>
          <w:fldChar w:fldCharType="end"/>
        </w:r>
      </w:hyperlink>
    </w:p>
    <w:p w14:paraId="29823559" w14:textId="09A33E11" w:rsidR="002B1431" w:rsidRPr="005B166F" w:rsidRDefault="000C1A8C">
      <w:pPr>
        <w:pStyle w:val="11"/>
        <w:ind w:firstLine="480"/>
        <w:rPr>
          <w:rFonts w:ascii="宋体" w:hAnsi="宋体" w:cstheme="minorBidi"/>
          <w:noProof/>
          <w:sz w:val="21"/>
        </w:rPr>
      </w:pPr>
      <w:hyperlink w:anchor="_Toc198902633" w:history="1">
        <w:r w:rsidR="002B1431" w:rsidRPr="005B166F">
          <w:rPr>
            <w:rStyle w:val="afd"/>
            <w:rFonts w:ascii="宋体" w:hAnsi="宋体"/>
            <w:noProof/>
            <w:kern w:val="0"/>
          </w:rPr>
          <w:t>第二十一部分    争议的处理和适用的法律</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_Toc198902633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91</w:t>
        </w:r>
        <w:r w:rsidR="002B1431" w:rsidRPr="005B166F">
          <w:rPr>
            <w:rFonts w:ascii="宋体" w:hAnsi="宋体"/>
            <w:noProof/>
            <w:webHidden/>
          </w:rPr>
          <w:fldChar w:fldCharType="end"/>
        </w:r>
      </w:hyperlink>
    </w:p>
    <w:p w14:paraId="034559B9" w14:textId="5690BFE2" w:rsidR="002B1431" w:rsidRPr="005B166F" w:rsidRDefault="000C1A8C">
      <w:pPr>
        <w:pStyle w:val="11"/>
        <w:ind w:firstLine="480"/>
        <w:rPr>
          <w:rFonts w:ascii="宋体" w:hAnsi="宋体" w:cstheme="minorBidi"/>
          <w:noProof/>
          <w:sz w:val="21"/>
        </w:rPr>
      </w:pPr>
      <w:hyperlink w:anchor="_Toc198902634" w:history="1">
        <w:r w:rsidR="002B1431" w:rsidRPr="005B166F">
          <w:rPr>
            <w:rStyle w:val="afd"/>
            <w:rFonts w:ascii="宋体" w:hAnsi="宋体"/>
            <w:noProof/>
            <w:kern w:val="0"/>
          </w:rPr>
          <w:t>第二十二部分    基金合同的效力</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_Toc198902634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92</w:t>
        </w:r>
        <w:r w:rsidR="002B1431" w:rsidRPr="005B166F">
          <w:rPr>
            <w:rFonts w:ascii="宋体" w:hAnsi="宋体"/>
            <w:noProof/>
            <w:webHidden/>
          </w:rPr>
          <w:fldChar w:fldCharType="end"/>
        </w:r>
      </w:hyperlink>
    </w:p>
    <w:p w14:paraId="168FBF23" w14:textId="0A1E134D" w:rsidR="002B1431" w:rsidRPr="005B166F" w:rsidRDefault="000C1A8C">
      <w:pPr>
        <w:pStyle w:val="11"/>
        <w:ind w:firstLine="480"/>
        <w:rPr>
          <w:rFonts w:ascii="宋体" w:hAnsi="宋体" w:cstheme="minorBidi"/>
          <w:noProof/>
          <w:sz w:val="21"/>
        </w:rPr>
      </w:pPr>
      <w:hyperlink w:anchor="_Toc198902635" w:history="1">
        <w:r w:rsidR="002B1431" w:rsidRPr="005B166F">
          <w:rPr>
            <w:rStyle w:val="afd"/>
            <w:rFonts w:ascii="宋体" w:hAnsi="宋体"/>
            <w:noProof/>
            <w:kern w:val="0"/>
          </w:rPr>
          <w:t>第二十三部分    其他事项</w:t>
        </w:r>
        <w:r w:rsidR="002B1431" w:rsidRPr="005B166F">
          <w:rPr>
            <w:rFonts w:ascii="宋体" w:hAnsi="宋体"/>
            <w:noProof/>
            <w:webHidden/>
          </w:rPr>
          <w:tab/>
        </w:r>
        <w:r w:rsidR="002B1431" w:rsidRPr="005B166F">
          <w:rPr>
            <w:rFonts w:ascii="宋体" w:hAnsi="宋体"/>
            <w:noProof/>
            <w:webHidden/>
          </w:rPr>
          <w:fldChar w:fldCharType="begin"/>
        </w:r>
        <w:r w:rsidR="002B1431" w:rsidRPr="005B166F">
          <w:rPr>
            <w:rFonts w:ascii="宋体" w:hAnsi="宋体"/>
            <w:noProof/>
            <w:webHidden/>
          </w:rPr>
          <w:instrText xml:space="preserve"> PAGEREF _Toc198902635 \h </w:instrText>
        </w:r>
        <w:r w:rsidR="002B1431" w:rsidRPr="005B166F">
          <w:rPr>
            <w:rFonts w:ascii="宋体" w:hAnsi="宋体"/>
            <w:noProof/>
            <w:webHidden/>
          </w:rPr>
        </w:r>
        <w:r w:rsidR="002B1431" w:rsidRPr="005B166F">
          <w:rPr>
            <w:rFonts w:ascii="宋体" w:hAnsi="宋体"/>
            <w:noProof/>
            <w:webHidden/>
          </w:rPr>
          <w:fldChar w:fldCharType="separate"/>
        </w:r>
        <w:r w:rsidR="00FB138A">
          <w:rPr>
            <w:rFonts w:ascii="宋体" w:hAnsi="宋体"/>
            <w:noProof/>
            <w:webHidden/>
          </w:rPr>
          <w:t>93</w:t>
        </w:r>
        <w:r w:rsidR="002B1431" w:rsidRPr="005B166F">
          <w:rPr>
            <w:rFonts w:ascii="宋体" w:hAnsi="宋体"/>
            <w:noProof/>
            <w:webHidden/>
          </w:rPr>
          <w:fldChar w:fldCharType="end"/>
        </w:r>
      </w:hyperlink>
    </w:p>
    <w:p w14:paraId="6668B678" w14:textId="748C7243" w:rsidR="00595296" w:rsidRPr="006F4D70" w:rsidRDefault="002B7F4D" w:rsidP="00A506CB">
      <w:pPr>
        <w:pStyle w:val="11"/>
        <w:ind w:firstLineChars="0" w:firstLine="0"/>
        <w:rPr>
          <w:rFonts w:asciiTheme="minorEastAsia" w:eastAsiaTheme="minorEastAsia" w:hAnsiTheme="minorEastAsia" w:cs="simsun,bold"/>
          <w:b/>
          <w:bCs/>
          <w:kern w:val="0"/>
          <w:szCs w:val="24"/>
        </w:rPr>
      </w:pPr>
      <w:r w:rsidRPr="006F4D70">
        <w:rPr>
          <w:rFonts w:asciiTheme="minorEastAsia" w:eastAsiaTheme="minorEastAsia" w:hAnsiTheme="minorEastAsia"/>
          <w:kern w:val="0"/>
          <w:szCs w:val="24"/>
        </w:rPr>
        <w:fldChar w:fldCharType="end"/>
      </w:r>
      <w:r w:rsidRPr="006F4D70">
        <w:rPr>
          <w:rFonts w:asciiTheme="minorEastAsia" w:eastAsiaTheme="minorEastAsia" w:hAnsiTheme="minorEastAsia" w:cs="simsun,bold"/>
          <w:b/>
          <w:bCs/>
          <w:kern w:val="0"/>
          <w:szCs w:val="24"/>
        </w:rPr>
        <w:br w:type="page"/>
      </w:r>
    </w:p>
    <w:p w14:paraId="5A2D0231" w14:textId="77777777" w:rsidR="00595296" w:rsidRPr="006F4D70" w:rsidRDefault="002B7F4D">
      <w:pPr>
        <w:pStyle w:val="1"/>
        <w:ind w:firstLine="602"/>
        <w:rPr>
          <w:rFonts w:asciiTheme="minorEastAsia" w:eastAsiaTheme="minorEastAsia" w:hAnsiTheme="minorEastAsia"/>
        </w:rPr>
      </w:pPr>
      <w:bookmarkStart w:id="30" w:name="_Toc377998616"/>
      <w:bookmarkStart w:id="31" w:name="_Toc198902613"/>
      <w:r w:rsidRPr="006F4D70">
        <w:rPr>
          <w:rFonts w:asciiTheme="minorEastAsia" w:eastAsiaTheme="minorEastAsia" w:hAnsiTheme="minorEastAsia" w:hint="eastAsia"/>
        </w:rPr>
        <w:lastRenderedPageBreak/>
        <w:t>第一部分    前言</w:t>
      </w:r>
      <w:bookmarkEnd w:id="13"/>
      <w:bookmarkEnd w:id="14"/>
      <w:bookmarkEnd w:id="15"/>
      <w:bookmarkEnd w:id="16"/>
      <w:bookmarkEnd w:id="17"/>
      <w:bookmarkEnd w:id="18"/>
      <w:bookmarkEnd w:id="19"/>
      <w:bookmarkEnd w:id="20"/>
      <w:bookmarkEnd w:id="21"/>
      <w:bookmarkEnd w:id="22"/>
      <w:bookmarkEnd w:id="23"/>
      <w:bookmarkEnd w:id="24"/>
      <w:bookmarkEnd w:id="25"/>
      <w:bookmarkEnd w:id="30"/>
      <w:bookmarkEnd w:id="31"/>
    </w:p>
    <w:p w14:paraId="0BBA0186" w14:textId="77777777" w:rsidR="00595296" w:rsidRPr="006F4D70" w:rsidRDefault="002B7F4D">
      <w:pPr>
        <w:ind w:firstLine="480"/>
        <w:rPr>
          <w:rFonts w:asciiTheme="minorEastAsia" w:eastAsiaTheme="minorEastAsia" w:hAnsiTheme="minorEastAsia" w:cs="宋体"/>
          <w:kern w:val="0"/>
          <w:szCs w:val="24"/>
        </w:rPr>
      </w:pPr>
      <w:bookmarkStart w:id="32" w:name="_Toc139991731"/>
      <w:bookmarkStart w:id="33" w:name="OLE_LINK2"/>
      <w:bookmarkStart w:id="34" w:name="_Toc258829399"/>
      <w:r w:rsidRPr="006F4D70">
        <w:rPr>
          <w:rFonts w:asciiTheme="minorEastAsia" w:eastAsiaTheme="minorEastAsia" w:hAnsiTheme="minorEastAsia" w:cs="宋体" w:hint="eastAsia"/>
          <w:kern w:val="0"/>
          <w:szCs w:val="24"/>
        </w:rPr>
        <w:t>一</w:t>
      </w:r>
      <w:bookmarkEnd w:id="26"/>
      <w:bookmarkEnd w:id="27"/>
      <w:bookmarkEnd w:id="28"/>
      <w:bookmarkEnd w:id="32"/>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订立本基金合同的目的、依据和原则</w:t>
      </w:r>
    </w:p>
    <w:p w14:paraId="79D91E7C"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订立本基金合同的目的是保护投资人合法权益，明确基金合同当事人的权利义务，规范基金运作。</w:t>
      </w:r>
    </w:p>
    <w:p w14:paraId="19736CB7"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订立本基金合同的依据是《中华人民共和国</w:t>
      </w:r>
      <w:r w:rsidRPr="006F4D70">
        <w:rPr>
          <w:rFonts w:asciiTheme="minorEastAsia" w:eastAsiaTheme="minorEastAsia" w:hAnsiTheme="minorEastAsia" w:cs="宋体" w:hint="eastAsia"/>
          <w:kern w:val="0"/>
          <w:szCs w:val="24"/>
        </w:rPr>
        <w:t>民法典</w:t>
      </w:r>
      <w:r w:rsidRPr="006F4D70">
        <w:rPr>
          <w:rFonts w:asciiTheme="minorEastAsia" w:eastAsiaTheme="minorEastAsia" w:hAnsiTheme="minorEastAsia" w:cs="宋体"/>
          <w:kern w:val="0"/>
          <w:szCs w:val="24"/>
        </w:rPr>
        <w:t>》、《中华人民共和国证券投资基金法》(以下简称“《基金法》”)、《</w:t>
      </w:r>
      <w:r w:rsidRPr="006F4D70">
        <w:rPr>
          <w:rFonts w:asciiTheme="minorEastAsia" w:eastAsiaTheme="minorEastAsia" w:hAnsiTheme="minorEastAsia" w:cs="宋体" w:hint="eastAsia"/>
          <w:kern w:val="0"/>
          <w:szCs w:val="24"/>
        </w:rPr>
        <w:t>公开募集</w:t>
      </w:r>
      <w:r w:rsidRPr="006F4D70">
        <w:rPr>
          <w:rFonts w:asciiTheme="minorEastAsia" w:eastAsiaTheme="minorEastAsia" w:hAnsiTheme="minorEastAsia" w:cs="宋体"/>
          <w:kern w:val="0"/>
          <w:szCs w:val="24"/>
        </w:rPr>
        <w:t>证券投资基金运作管理办法》(以下简称“《运作办法》”)、《</w:t>
      </w:r>
      <w:r w:rsidRPr="006F4D70">
        <w:rPr>
          <w:rFonts w:asciiTheme="minorEastAsia" w:eastAsiaTheme="minorEastAsia" w:hAnsiTheme="minorEastAsia" w:hint="eastAsia"/>
          <w:bCs/>
        </w:rPr>
        <w:t>公开募集证券投资基金销售机构监督管理办法</w:t>
      </w:r>
      <w:r w:rsidRPr="006F4D70">
        <w:rPr>
          <w:rFonts w:asciiTheme="minorEastAsia" w:eastAsiaTheme="minorEastAsia" w:hAnsiTheme="minorEastAsia" w:cs="宋体"/>
          <w:kern w:val="0"/>
          <w:szCs w:val="24"/>
        </w:rPr>
        <w:t>》(以下简称“《销售办法》”)、《</w:t>
      </w:r>
      <w:r w:rsidRPr="006F4D70">
        <w:rPr>
          <w:rFonts w:asciiTheme="minorEastAsia" w:eastAsiaTheme="minorEastAsia" w:hAnsiTheme="minorEastAsia" w:cs="宋体" w:hint="eastAsia"/>
          <w:kern w:val="0"/>
          <w:szCs w:val="24"/>
        </w:rPr>
        <w:t>公开募集</w:t>
      </w:r>
      <w:r w:rsidRPr="006F4D70">
        <w:rPr>
          <w:rFonts w:asciiTheme="minorEastAsia" w:eastAsiaTheme="minorEastAsia" w:hAnsiTheme="minorEastAsia" w:cs="宋体"/>
          <w:kern w:val="0"/>
          <w:szCs w:val="24"/>
        </w:rPr>
        <w:t>证券投资基金信息披露管理办法》(以下简称“《信息披露办法》”)</w:t>
      </w:r>
      <w:r w:rsidRPr="006F4D70">
        <w:rPr>
          <w:rFonts w:asciiTheme="minorEastAsia" w:eastAsiaTheme="minorEastAsia" w:hAnsiTheme="minorEastAsia" w:cs="宋体" w:hint="eastAsia"/>
          <w:kern w:val="0"/>
          <w:szCs w:val="24"/>
        </w:rPr>
        <w:t>、《公开募集开放式证券投资基金流动性风险管理规定》(以下简称“《流动性风险管理规定》”)</w:t>
      </w:r>
      <w:r w:rsidRPr="006F4D70">
        <w:rPr>
          <w:rFonts w:asciiTheme="minorEastAsia" w:eastAsiaTheme="minorEastAsia" w:hAnsiTheme="minorEastAsia" w:cs="宋体"/>
          <w:kern w:val="0"/>
          <w:szCs w:val="24"/>
        </w:rPr>
        <w:t>和其他有关法律法规。</w:t>
      </w:r>
    </w:p>
    <w:p w14:paraId="7C1E7115"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订立本基金合同的原则是平等自愿、诚实信用、充分保护投资人合法权益。</w:t>
      </w:r>
    </w:p>
    <w:p w14:paraId="36E53335"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二、</w:t>
      </w:r>
      <w:r w:rsidRPr="006F4D70">
        <w:rPr>
          <w:rFonts w:asciiTheme="minorEastAsia" w:eastAsiaTheme="minorEastAsia" w:hAnsiTheme="minorEastAsia" w:cs="宋体"/>
          <w:kern w:val="0"/>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1EA4668"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39BC890" w14:textId="25D749D8"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三、</w:t>
      </w:r>
      <w:r w:rsidR="00A506CB" w:rsidRPr="006F4D70">
        <w:rPr>
          <w:rFonts w:asciiTheme="minorEastAsia" w:eastAsiaTheme="minorEastAsia" w:hAnsiTheme="minorEastAsia" w:cs="宋体" w:hint="eastAsia"/>
          <w:kern w:val="0"/>
          <w:szCs w:val="24"/>
        </w:rPr>
        <w:t>天弘</w:t>
      </w:r>
      <w:r w:rsidR="00570182">
        <w:rPr>
          <w:rFonts w:asciiTheme="minorEastAsia" w:eastAsiaTheme="minorEastAsia" w:hAnsiTheme="minorEastAsia" w:cs="宋体" w:hint="eastAsia"/>
          <w:kern w:val="0"/>
          <w:szCs w:val="24"/>
        </w:rPr>
        <w:t>乾元价值</w:t>
      </w:r>
      <w:r w:rsidR="00A506CB" w:rsidRPr="006F4D70">
        <w:rPr>
          <w:rFonts w:asciiTheme="minorEastAsia" w:eastAsiaTheme="minorEastAsia" w:hAnsiTheme="minorEastAsia" w:cs="宋体" w:hint="eastAsia"/>
          <w:kern w:val="0"/>
          <w:szCs w:val="24"/>
        </w:rPr>
        <w:t>混合型</w:t>
      </w:r>
      <w:r w:rsidRPr="006F4D70">
        <w:rPr>
          <w:rFonts w:asciiTheme="minorEastAsia" w:eastAsiaTheme="minorEastAsia" w:hAnsiTheme="minorEastAsia" w:cs="宋体" w:hint="eastAsia"/>
          <w:kern w:val="0"/>
          <w:szCs w:val="24"/>
        </w:rPr>
        <w:t>证券投资基金</w:t>
      </w:r>
      <w:r w:rsidRPr="006F4D70">
        <w:rPr>
          <w:rFonts w:asciiTheme="minorEastAsia" w:eastAsiaTheme="minorEastAsia" w:hAnsiTheme="minorEastAsia" w:cs="宋体"/>
          <w:kern w:val="0"/>
          <w:szCs w:val="24"/>
        </w:rPr>
        <w:t>由基金管理人依照《基金法》、基金合同及其他有关规定募集，并经中国证券监督管理委员会(以下简称“中国证监会”)</w:t>
      </w:r>
      <w:r w:rsidRPr="006F4D70">
        <w:rPr>
          <w:rFonts w:asciiTheme="minorEastAsia" w:eastAsiaTheme="minorEastAsia" w:hAnsiTheme="minorEastAsia" w:cs="宋体" w:hint="eastAsia"/>
          <w:kern w:val="0"/>
          <w:szCs w:val="24"/>
        </w:rPr>
        <w:t>注册</w:t>
      </w:r>
      <w:r w:rsidRPr="006F4D70">
        <w:rPr>
          <w:rFonts w:asciiTheme="minorEastAsia" w:eastAsiaTheme="minorEastAsia" w:hAnsiTheme="minorEastAsia" w:cs="宋体"/>
          <w:kern w:val="0"/>
          <w:szCs w:val="24"/>
        </w:rPr>
        <w:t>。</w:t>
      </w:r>
    </w:p>
    <w:p w14:paraId="6A6A32C6"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中国证监会对本基金募集的</w:t>
      </w:r>
      <w:r w:rsidRPr="006F4D70">
        <w:rPr>
          <w:rFonts w:asciiTheme="minorEastAsia" w:eastAsiaTheme="minorEastAsia" w:hAnsiTheme="minorEastAsia" w:cs="宋体" w:hint="eastAsia"/>
          <w:kern w:val="0"/>
          <w:szCs w:val="24"/>
        </w:rPr>
        <w:t>注册</w:t>
      </w:r>
      <w:r w:rsidRPr="006F4D70">
        <w:rPr>
          <w:rFonts w:asciiTheme="minorEastAsia" w:eastAsiaTheme="minorEastAsia" w:hAnsiTheme="minorEastAsia" w:cs="宋体"/>
          <w:kern w:val="0"/>
          <w:szCs w:val="24"/>
        </w:rPr>
        <w:t>，并不表明其对本基金的</w:t>
      </w:r>
      <w:r w:rsidRPr="006F4D70">
        <w:rPr>
          <w:rFonts w:asciiTheme="minorEastAsia" w:eastAsiaTheme="minorEastAsia" w:hAnsiTheme="minorEastAsia" w:cs="宋体" w:hint="eastAsia"/>
          <w:kern w:val="0"/>
          <w:szCs w:val="24"/>
        </w:rPr>
        <w:t>投资</w:t>
      </w:r>
      <w:r w:rsidRPr="006F4D70">
        <w:rPr>
          <w:rFonts w:asciiTheme="minorEastAsia" w:eastAsiaTheme="minorEastAsia" w:hAnsiTheme="minorEastAsia" w:cs="宋体"/>
          <w:kern w:val="0"/>
          <w:szCs w:val="24"/>
        </w:rPr>
        <w:t>价值和</w:t>
      </w:r>
      <w:r w:rsidRPr="006F4D70">
        <w:rPr>
          <w:rFonts w:asciiTheme="minorEastAsia" w:eastAsiaTheme="minorEastAsia" w:hAnsiTheme="minorEastAsia" w:cs="宋体" w:hint="eastAsia"/>
          <w:kern w:val="0"/>
          <w:szCs w:val="24"/>
        </w:rPr>
        <w:t>市场前景</w:t>
      </w:r>
      <w:r w:rsidRPr="006F4D70">
        <w:rPr>
          <w:rFonts w:asciiTheme="minorEastAsia" w:eastAsiaTheme="minorEastAsia" w:hAnsiTheme="minorEastAsia" w:cs="宋体"/>
          <w:kern w:val="0"/>
          <w:szCs w:val="24"/>
        </w:rPr>
        <w:t>做出实质性判断或保证，也不表明投资于本基金没有风险。</w:t>
      </w:r>
    </w:p>
    <w:p w14:paraId="072AB671"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基金管理人依照恪尽职守、诚实信用、谨慎勤勉的原则管理和运用基金财产，但不保证投资于本基金一定盈利，也不保证最低收益。</w:t>
      </w:r>
    </w:p>
    <w:p w14:paraId="0CA5BEBB"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投资者</w:t>
      </w:r>
      <w:r w:rsidRPr="006F4D70">
        <w:rPr>
          <w:rFonts w:asciiTheme="minorEastAsia" w:eastAsiaTheme="minorEastAsia" w:hAnsiTheme="minorEastAsia" w:cs="宋体"/>
          <w:kern w:val="0"/>
          <w:szCs w:val="24"/>
        </w:rPr>
        <w:t>应当认真阅读</w:t>
      </w:r>
      <w:r w:rsidRPr="006F4D70">
        <w:rPr>
          <w:rFonts w:asciiTheme="minorEastAsia" w:eastAsiaTheme="minorEastAsia" w:hAnsiTheme="minorEastAsia" w:cs="宋体" w:hint="eastAsia"/>
          <w:kern w:val="0"/>
          <w:szCs w:val="24"/>
        </w:rPr>
        <w:t>基金合同、</w:t>
      </w:r>
      <w:r w:rsidRPr="006F4D70">
        <w:rPr>
          <w:rFonts w:asciiTheme="minorEastAsia" w:eastAsiaTheme="minorEastAsia" w:hAnsiTheme="minorEastAsia" w:cs="宋体"/>
          <w:kern w:val="0"/>
          <w:szCs w:val="24"/>
        </w:rPr>
        <w:t>基金招募说明书</w:t>
      </w:r>
      <w:r w:rsidRPr="006F4D70">
        <w:rPr>
          <w:rFonts w:asciiTheme="minorEastAsia" w:eastAsiaTheme="minorEastAsia" w:hAnsiTheme="minorEastAsia" w:cs="宋体" w:hint="eastAsia"/>
          <w:kern w:val="0"/>
          <w:szCs w:val="24"/>
        </w:rPr>
        <w:t>、基金产品资料概要</w:t>
      </w:r>
      <w:r w:rsidRPr="006F4D70">
        <w:rPr>
          <w:rFonts w:asciiTheme="minorEastAsia" w:eastAsiaTheme="minorEastAsia" w:hAnsiTheme="minorEastAsia" w:cs="宋体"/>
          <w:kern w:val="0"/>
          <w:szCs w:val="24"/>
        </w:rPr>
        <w:t>等信息</w:t>
      </w:r>
      <w:r w:rsidRPr="006F4D70">
        <w:rPr>
          <w:rFonts w:asciiTheme="minorEastAsia" w:eastAsiaTheme="minorEastAsia" w:hAnsiTheme="minorEastAsia" w:cs="宋体"/>
          <w:kern w:val="0"/>
          <w:szCs w:val="24"/>
        </w:rPr>
        <w:lastRenderedPageBreak/>
        <w:t>披露文件，自主判断基金的投资价值，自主做出投资决策，自行承担投资风险。</w:t>
      </w:r>
    </w:p>
    <w:p w14:paraId="4D92CFD1"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四、</w:t>
      </w:r>
      <w:r w:rsidRPr="006F4D70">
        <w:rPr>
          <w:rFonts w:asciiTheme="minorEastAsia" w:eastAsiaTheme="minorEastAsia" w:hAnsiTheme="minorEastAsia" w:cs="宋体"/>
          <w:kern w:val="0"/>
          <w:szCs w:val="24"/>
        </w:rPr>
        <w:t>基金管理人、基金托管人在本基金合同之外披露涉及本基金的信息，其内容涉及界定基金合同当事人之间权利义务关系的，如与基金合同有冲突，以基金合同为准。</w:t>
      </w:r>
    </w:p>
    <w:p w14:paraId="143B747F"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五、本基金按照中国法律法规成立并运作，若</w:t>
      </w:r>
      <w:r w:rsidRPr="006F4D70">
        <w:rPr>
          <w:rFonts w:asciiTheme="minorEastAsia" w:eastAsiaTheme="minorEastAsia" w:hAnsiTheme="minorEastAsia" w:cs="宋体"/>
          <w:kern w:val="0"/>
          <w:szCs w:val="24"/>
        </w:rPr>
        <w:t>基金合同的内容与届时有效的法律法规的强制性规定不一致，应当以届时有效的法律法规的规定为准。</w:t>
      </w:r>
    </w:p>
    <w:p w14:paraId="24A181BA" w14:textId="726653B5" w:rsidR="00595296" w:rsidRPr="006F4D70" w:rsidRDefault="00F50D09">
      <w:pPr>
        <w:autoSpaceDE w:val="0"/>
        <w:autoSpaceDN w:val="0"/>
        <w:adjustRightInd w:val="0"/>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六</w:t>
      </w:r>
      <w:r w:rsidR="002B7F4D" w:rsidRPr="006F4D70">
        <w:rPr>
          <w:rFonts w:asciiTheme="minorEastAsia" w:eastAsiaTheme="minorEastAsia" w:hAnsiTheme="minorEastAsia" w:cs="宋体" w:hint="eastAsia"/>
          <w:kern w:val="0"/>
          <w:szCs w:val="24"/>
        </w:rPr>
        <w:t>、本基金可通过</w:t>
      </w:r>
      <w:r w:rsidR="002B7F4D" w:rsidRPr="006F4D70">
        <w:rPr>
          <w:rFonts w:asciiTheme="minorEastAsia" w:eastAsiaTheme="minorEastAsia" w:hAnsiTheme="minorEastAsia" w:cs="宋体"/>
          <w:kern w:val="0"/>
          <w:szCs w:val="24"/>
        </w:rPr>
        <w:t>内地与香港</w:t>
      </w:r>
      <w:r w:rsidR="002B7F4D" w:rsidRPr="006F4D70">
        <w:rPr>
          <w:rFonts w:asciiTheme="minorEastAsia" w:eastAsiaTheme="minorEastAsia" w:hAnsiTheme="minorEastAsia" w:cs="宋体" w:hint="eastAsia"/>
          <w:kern w:val="0"/>
          <w:szCs w:val="24"/>
        </w:rPr>
        <w:t>股票市场交易互联互通机制（以下简称“港股通机制”）买卖规定范围内的香港联合交易所上市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揭示烦请查阅本基金招募说明书“风险揭示”章节内容。</w:t>
      </w:r>
    </w:p>
    <w:p w14:paraId="62FA76D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本基金可根据投资策略需要或不同配置地市场环境的变化，选择将部分基金资产投资于港股或选择不将基金资产投资于港股，基金资产并非必然投资港股。</w:t>
      </w:r>
    </w:p>
    <w:p w14:paraId="3DAD7254" w14:textId="5AA6435C" w:rsidR="00595296" w:rsidRPr="006F4D70" w:rsidRDefault="002B0B22">
      <w:pPr>
        <w:ind w:firstLine="480"/>
        <w:rPr>
          <w:rFonts w:asciiTheme="minorEastAsia" w:eastAsiaTheme="minorEastAsia" w:hAnsiTheme="minorEastAsia"/>
          <w:bCs/>
        </w:rPr>
      </w:pPr>
      <w:r>
        <w:rPr>
          <w:rFonts w:asciiTheme="minorEastAsia" w:eastAsiaTheme="minorEastAsia" w:hAnsiTheme="minorEastAsia" w:hint="eastAsia"/>
          <w:bCs/>
        </w:rPr>
        <w:t>七</w:t>
      </w:r>
      <w:r w:rsidR="002B7F4D" w:rsidRPr="006F4D70">
        <w:rPr>
          <w:rFonts w:asciiTheme="minorEastAsia" w:eastAsiaTheme="minorEastAsia" w:hAnsiTheme="minorEastAsia" w:hint="eastAsia"/>
          <w:bCs/>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揭示烦请查阅本基金招募说明书“风险揭示”章节内容。</w:t>
      </w:r>
    </w:p>
    <w:p w14:paraId="4207D170" w14:textId="77777777" w:rsidR="00595296" w:rsidRPr="006F4D70" w:rsidRDefault="002B7F4D">
      <w:pPr>
        <w:ind w:firstLine="480"/>
        <w:rPr>
          <w:rFonts w:asciiTheme="minorEastAsia" w:eastAsiaTheme="minorEastAsia" w:hAnsiTheme="minorEastAsia"/>
          <w:bCs/>
        </w:rPr>
      </w:pPr>
      <w:r w:rsidRPr="006F4D70">
        <w:rPr>
          <w:rFonts w:asciiTheme="minorEastAsia" w:eastAsiaTheme="minorEastAsia" w:hAnsiTheme="minorEastAsia" w:hint="eastAsia"/>
          <w:bCs/>
        </w:rPr>
        <w:t>本基金可根据投资策略需要或市场环境的变化，选择将部分基金资产投资于存托凭证或选择不将基金资产投资于存托凭证，基金资产并非必然投资存托凭证。</w:t>
      </w:r>
    </w:p>
    <w:p w14:paraId="40FA961F" w14:textId="3772FCF6" w:rsidR="00595296" w:rsidRPr="006F4D70" w:rsidRDefault="002B0B22">
      <w:pPr>
        <w:ind w:firstLine="480"/>
        <w:rPr>
          <w:rFonts w:asciiTheme="minorEastAsia" w:eastAsiaTheme="minorEastAsia" w:hAnsiTheme="minorEastAsia"/>
          <w:bCs/>
        </w:rPr>
      </w:pPr>
      <w:r>
        <w:rPr>
          <w:rFonts w:asciiTheme="minorEastAsia" w:eastAsiaTheme="minorEastAsia" w:hAnsiTheme="minorEastAsia" w:hint="eastAsia"/>
          <w:bCs/>
        </w:rPr>
        <w:t>八</w:t>
      </w:r>
      <w:r w:rsidR="002B7F4D" w:rsidRPr="006F4D70">
        <w:rPr>
          <w:rFonts w:asciiTheme="minorEastAsia" w:eastAsiaTheme="minorEastAsia" w:hAnsiTheme="minorEastAsia" w:hint="eastAsia"/>
          <w:bCs/>
        </w:rPr>
        <w:t>、本基金可投资股指期货、国债期货、股票期权等金融衍生品，金融衍生产品具有杠杆效应且价格波动剧烈，会放大收益或损失，在某些情况下甚至会导致投资亏损高于初始投资金额。本基金可根据投资策略需要或市场环境的变化，选择将部分基金资产投资于金融衍生品或选择不将基金资产投资于金融衍生品，基金资产并非必然投资金融衍生品。</w:t>
      </w:r>
    </w:p>
    <w:p w14:paraId="685DF455" w14:textId="515F295B" w:rsidR="00595296" w:rsidRPr="006F4D70" w:rsidRDefault="002B0B22">
      <w:pPr>
        <w:ind w:firstLine="480"/>
        <w:rPr>
          <w:rFonts w:asciiTheme="minorEastAsia" w:eastAsiaTheme="minorEastAsia" w:hAnsiTheme="minorEastAsia"/>
          <w:bCs/>
        </w:rPr>
      </w:pPr>
      <w:r>
        <w:rPr>
          <w:rFonts w:asciiTheme="minorEastAsia" w:eastAsiaTheme="minorEastAsia" w:hAnsiTheme="minorEastAsia" w:hint="eastAsia"/>
          <w:bCs/>
        </w:rPr>
        <w:t>九</w:t>
      </w:r>
      <w:r w:rsidR="002B7F4D" w:rsidRPr="006F4D70">
        <w:rPr>
          <w:rFonts w:asciiTheme="minorEastAsia" w:eastAsiaTheme="minorEastAsia" w:hAnsiTheme="minorEastAsia" w:hint="eastAsia"/>
          <w:bCs/>
        </w:rPr>
        <w:t>、为对冲信用风险，本基金可能投资于信用衍生品，信用衍生品投资可能</w:t>
      </w:r>
      <w:r w:rsidR="002B7F4D" w:rsidRPr="006F4D70">
        <w:rPr>
          <w:rFonts w:asciiTheme="minorEastAsia" w:eastAsiaTheme="minorEastAsia" w:hAnsiTheme="minorEastAsia" w:hint="eastAsia"/>
          <w:bCs/>
        </w:rPr>
        <w:lastRenderedPageBreak/>
        <w:t>面临流动性风险、偿付风险以及价格波动风险等。</w:t>
      </w:r>
    </w:p>
    <w:p w14:paraId="77734F3F" w14:textId="4AC2668B"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hint="eastAsia"/>
          <w:bCs/>
        </w:rPr>
        <w:t>十</w:t>
      </w:r>
      <w:r w:rsidRPr="006F4D70">
        <w:rPr>
          <w:rFonts w:asciiTheme="minorEastAsia" w:eastAsiaTheme="minorEastAsia" w:hAnsiTheme="minorEastAsia" w:cs="宋体" w:hint="eastAsia"/>
          <w:kern w:val="0"/>
          <w:szCs w:val="24"/>
        </w:rPr>
        <w:t>、当本基金持有特定资产且存在或潜在大额赎回申请时，基金管理人履行相应程序后，可以启用侧袋机制，具体详见基金合同和招募说明书的相关内容。侧袋机制实施期间，基金管理人将对基金简称进行特殊标识，并且不办理侧袋账户的申购赎回。侧袋机制的具体风险烦请查阅本基金招募说明书“风险揭示”章节内容。</w:t>
      </w:r>
    </w:p>
    <w:p w14:paraId="1DB41315" w14:textId="1EE4BE36" w:rsidR="00595296"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十</w:t>
      </w:r>
      <w:r w:rsidR="002B0B22">
        <w:rPr>
          <w:rFonts w:asciiTheme="minorEastAsia" w:eastAsiaTheme="minorEastAsia" w:hAnsiTheme="minorEastAsia" w:cs="宋体" w:hint="eastAsia"/>
          <w:kern w:val="0"/>
          <w:szCs w:val="24"/>
        </w:rPr>
        <w:t>一</w:t>
      </w:r>
      <w:r w:rsidRPr="006F4D70">
        <w:rPr>
          <w:rFonts w:asciiTheme="minorEastAsia" w:eastAsiaTheme="minorEastAsia" w:hAnsiTheme="minorEastAsia" w:cs="宋体" w:hint="eastAsia"/>
          <w:kern w:val="0"/>
          <w:szCs w:val="24"/>
        </w:rPr>
        <w:t>、基金单一投资者持有基金份额数不得达到或超过基金份额总数的50%，但在基金运作过程中因基金份额赎回等基金管理人无法予以控制的情形导致被动达到或超过50%的除外。法律法规或监管部门另有规定的，从其规定。</w:t>
      </w:r>
      <w:bookmarkEnd w:id="33"/>
    </w:p>
    <w:p w14:paraId="06792DD3" w14:textId="5BE0E127" w:rsidR="0041350E" w:rsidRPr="0041350E" w:rsidRDefault="0041350E" w:rsidP="0041350E">
      <w:pPr>
        <w:autoSpaceDE w:val="0"/>
        <w:autoSpaceDN w:val="0"/>
        <w:adjustRightInd w:val="0"/>
        <w:ind w:firstLine="480"/>
        <w:rPr>
          <w:rFonts w:asciiTheme="minorEastAsia" w:eastAsiaTheme="minorEastAsia" w:hAnsiTheme="minorEastAsia" w:cs="宋体"/>
          <w:kern w:val="0"/>
          <w:szCs w:val="24"/>
        </w:rPr>
      </w:pPr>
      <w:r w:rsidRPr="0041350E">
        <w:rPr>
          <w:rFonts w:asciiTheme="minorEastAsia" w:eastAsiaTheme="minorEastAsia" w:hAnsiTheme="minorEastAsia" w:cs="宋体" w:hint="eastAsia"/>
          <w:kern w:val="0"/>
          <w:szCs w:val="24"/>
        </w:rPr>
        <w:t>十</w:t>
      </w:r>
      <w:r w:rsidR="002B0B22">
        <w:rPr>
          <w:rFonts w:asciiTheme="minorEastAsia" w:eastAsiaTheme="minorEastAsia" w:hAnsiTheme="minorEastAsia" w:cs="宋体" w:hint="eastAsia"/>
          <w:kern w:val="0"/>
          <w:szCs w:val="24"/>
        </w:rPr>
        <w:t>二</w:t>
      </w:r>
      <w:r w:rsidRPr="0041350E">
        <w:rPr>
          <w:rFonts w:asciiTheme="minorEastAsia" w:eastAsiaTheme="minorEastAsia" w:hAnsiTheme="minorEastAsia" w:cs="宋体" w:hint="eastAsia"/>
          <w:kern w:val="0"/>
          <w:szCs w:val="24"/>
        </w:rPr>
        <w:t>、浮动管理费模式相关风险</w:t>
      </w:r>
    </w:p>
    <w:p w14:paraId="71DF9B9D" w14:textId="5D2A7A65" w:rsidR="0041350E" w:rsidRPr="0041350E" w:rsidRDefault="0041350E" w:rsidP="0041350E">
      <w:pPr>
        <w:autoSpaceDE w:val="0"/>
        <w:autoSpaceDN w:val="0"/>
        <w:adjustRightInd w:val="0"/>
        <w:ind w:firstLine="480"/>
        <w:rPr>
          <w:rFonts w:asciiTheme="minorEastAsia" w:eastAsiaTheme="minorEastAsia" w:hAnsiTheme="minorEastAsia" w:cs="宋体"/>
          <w:kern w:val="0"/>
          <w:szCs w:val="24"/>
        </w:rPr>
      </w:pPr>
      <w:r w:rsidRPr="0041350E">
        <w:rPr>
          <w:rFonts w:asciiTheme="minorEastAsia" w:eastAsiaTheme="minorEastAsia" w:hAnsiTheme="minorEastAsia" w:cs="宋体" w:hint="eastAsia"/>
          <w:kern w:val="0"/>
          <w:szCs w:val="24"/>
        </w:rPr>
        <w:t>（</w:t>
      </w:r>
      <w:r w:rsidRPr="0041350E">
        <w:rPr>
          <w:rFonts w:asciiTheme="minorEastAsia" w:eastAsiaTheme="minorEastAsia" w:hAnsiTheme="minorEastAsia" w:cs="宋体"/>
          <w:kern w:val="0"/>
          <w:szCs w:val="24"/>
        </w:rPr>
        <w:t>1</w:t>
      </w:r>
      <w:r w:rsidRPr="0041350E">
        <w:rPr>
          <w:rFonts w:asciiTheme="minorEastAsia" w:eastAsiaTheme="minorEastAsia" w:hAnsiTheme="minorEastAsia" w:cs="宋体" w:hint="eastAsia"/>
          <w:kern w:val="0"/>
          <w:szCs w:val="24"/>
        </w:rPr>
        <w:t>）本基金的管理费由固定管理费、或有管理费和超额管理费组成，其中或有管理费和超额管理费取决于每笔基金份额的持有</w:t>
      </w:r>
      <w:r w:rsidR="00F578BA">
        <w:rPr>
          <w:rFonts w:asciiTheme="minorEastAsia" w:eastAsiaTheme="minorEastAsia" w:hAnsiTheme="minorEastAsia" w:cs="宋体" w:hint="eastAsia"/>
          <w:kern w:val="0"/>
          <w:szCs w:val="24"/>
        </w:rPr>
        <w:t>期限</w:t>
      </w:r>
      <w:r w:rsidRPr="0041350E">
        <w:rPr>
          <w:rFonts w:asciiTheme="minorEastAsia" w:eastAsiaTheme="minorEastAsia" w:hAnsiTheme="minorEastAsia" w:cs="宋体" w:hint="eastAsia"/>
          <w:kern w:val="0"/>
          <w:szCs w:val="24"/>
        </w:rPr>
        <w:t>和持有期间年化收益率水平（</w:t>
      </w:r>
      <w:bookmarkStart w:id="35" w:name="_Hlk198193651"/>
      <w:r w:rsidRPr="0041350E">
        <w:rPr>
          <w:rFonts w:asciiTheme="minorEastAsia" w:eastAsiaTheme="minorEastAsia" w:hAnsiTheme="minorEastAsia" w:cs="宋体" w:hint="eastAsia"/>
          <w:kern w:val="0"/>
          <w:szCs w:val="24"/>
        </w:rPr>
        <w:t>详见本基金合同“第十五部分</w:t>
      </w:r>
      <w:r w:rsidRPr="0041350E">
        <w:rPr>
          <w:rFonts w:asciiTheme="minorEastAsia" w:eastAsiaTheme="minorEastAsia" w:hAnsiTheme="minorEastAsia" w:cs="宋体"/>
          <w:kern w:val="0"/>
          <w:szCs w:val="24"/>
        </w:rPr>
        <w:t xml:space="preserve"> </w:t>
      </w:r>
      <w:r w:rsidRPr="0041350E">
        <w:rPr>
          <w:rFonts w:asciiTheme="minorEastAsia" w:eastAsiaTheme="minorEastAsia" w:hAnsiTheme="minorEastAsia" w:cs="宋体" w:hint="eastAsia"/>
          <w:kern w:val="0"/>
          <w:szCs w:val="24"/>
        </w:rPr>
        <w:t>基金费用与税收”</w:t>
      </w:r>
      <w:bookmarkEnd w:id="35"/>
      <w:r w:rsidRPr="0041350E">
        <w:rPr>
          <w:rFonts w:asciiTheme="minorEastAsia" w:eastAsiaTheme="minorEastAsia" w:hAnsiTheme="minorEastAsia" w:cs="宋体" w:hint="eastAsia"/>
          <w:kern w:val="0"/>
          <w:szCs w:val="24"/>
        </w:rPr>
        <w:t>），因此投资者在认</w:t>
      </w:r>
      <w:r w:rsidR="00A02F71">
        <w:rPr>
          <w:rFonts w:asciiTheme="minorEastAsia" w:eastAsiaTheme="minorEastAsia" w:hAnsiTheme="minorEastAsia" w:cs="宋体" w:hint="eastAsia"/>
          <w:kern w:val="0"/>
          <w:szCs w:val="24"/>
        </w:rPr>
        <w:t>购</w:t>
      </w:r>
      <w:r w:rsidRPr="0041350E">
        <w:rPr>
          <w:rFonts w:asciiTheme="minorEastAsia" w:eastAsiaTheme="minorEastAsia" w:hAnsiTheme="minorEastAsia" w:cs="宋体"/>
          <w:kern w:val="0"/>
          <w:szCs w:val="24"/>
        </w:rPr>
        <w:t>/</w:t>
      </w:r>
      <w:r w:rsidRPr="0041350E">
        <w:rPr>
          <w:rFonts w:asciiTheme="minorEastAsia" w:eastAsiaTheme="minorEastAsia" w:hAnsiTheme="minorEastAsia" w:cs="宋体" w:hint="eastAsia"/>
          <w:kern w:val="0"/>
          <w:szCs w:val="24"/>
        </w:rPr>
        <w:t>申购</w:t>
      </w:r>
      <w:r w:rsidR="00F578BA">
        <w:rPr>
          <w:rFonts w:asciiTheme="minorEastAsia" w:eastAsiaTheme="minorEastAsia" w:hAnsiTheme="minorEastAsia" w:cs="宋体" w:hint="eastAsia"/>
          <w:kern w:val="0"/>
          <w:szCs w:val="24"/>
        </w:rPr>
        <w:t>/转入</w:t>
      </w:r>
      <w:r w:rsidRPr="0041350E">
        <w:rPr>
          <w:rFonts w:asciiTheme="minorEastAsia" w:eastAsiaTheme="minorEastAsia" w:hAnsiTheme="minorEastAsia" w:cs="宋体" w:hint="eastAsia"/>
          <w:kern w:val="0"/>
          <w:szCs w:val="24"/>
        </w:rPr>
        <w:t>本基金时无法预先确定</w:t>
      </w:r>
      <w:bookmarkStart w:id="36" w:name="_Hlk198193670"/>
      <w:r w:rsidRPr="0041350E">
        <w:rPr>
          <w:rFonts w:asciiTheme="minorEastAsia" w:eastAsiaTheme="minorEastAsia" w:hAnsiTheme="minorEastAsia" w:cs="宋体" w:hint="eastAsia"/>
          <w:kern w:val="0"/>
          <w:szCs w:val="24"/>
        </w:rPr>
        <w:t>本基金的整体管理费水平</w:t>
      </w:r>
      <w:bookmarkEnd w:id="36"/>
      <w:r w:rsidRPr="0041350E">
        <w:rPr>
          <w:rFonts w:asciiTheme="minorEastAsia" w:eastAsiaTheme="minorEastAsia" w:hAnsiTheme="minorEastAsia" w:cs="宋体" w:hint="eastAsia"/>
          <w:kern w:val="0"/>
          <w:szCs w:val="24"/>
        </w:rPr>
        <w:t>。</w:t>
      </w:r>
    </w:p>
    <w:p w14:paraId="2A61DD6F" w14:textId="40145D71" w:rsidR="0041350E" w:rsidRPr="0041350E" w:rsidRDefault="0041350E" w:rsidP="0041350E">
      <w:pPr>
        <w:autoSpaceDE w:val="0"/>
        <w:autoSpaceDN w:val="0"/>
        <w:adjustRightInd w:val="0"/>
        <w:ind w:firstLine="480"/>
        <w:rPr>
          <w:rFonts w:asciiTheme="minorEastAsia" w:eastAsiaTheme="minorEastAsia" w:hAnsiTheme="minorEastAsia" w:cs="宋体"/>
          <w:kern w:val="0"/>
          <w:szCs w:val="24"/>
        </w:rPr>
      </w:pPr>
      <w:r w:rsidRPr="0041350E">
        <w:rPr>
          <w:rFonts w:asciiTheme="minorEastAsia" w:eastAsiaTheme="minorEastAsia" w:hAnsiTheme="minorEastAsia" w:cs="宋体" w:hint="eastAsia"/>
          <w:kern w:val="0"/>
          <w:szCs w:val="24"/>
        </w:rPr>
        <w:t>（</w:t>
      </w:r>
      <w:r w:rsidRPr="0041350E">
        <w:rPr>
          <w:rFonts w:asciiTheme="minorEastAsia" w:eastAsiaTheme="minorEastAsia" w:hAnsiTheme="minorEastAsia" w:cs="宋体"/>
          <w:kern w:val="0"/>
          <w:szCs w:val="24"/>
        </w:rPr>
        <w:t>2</w:t>
      </w:r>
      <w:r w:rsidRPr="0041350E">
        <w:rPr>
          <w:rFonts w:asciiTheme="minorEastAsia" w:eastAsiaTheme="minorEastAsia" w:hAnsiTheme="minorEastAsia" w:cs="宋体" w:hint="eastAsia"/>
          <w:kern w:val="0"/>
          <w:szCs w:val="24"/>
        </w:rPr>
        <w:t>）由于本基金在计算</w:t>
      </w:r>
      <w:r w:rsidR="00F578BA">
        <w:rPr>
          <w:rFonts w:asciiTheme="minorEastAsia" w:eastAsiaTheme="minorEastAsia" w:hAnsiTheme="minorEastAsia" w:cs="宋体" w:hint="eastAsia"/>
          <w:kern w:val="0"/>
          <w:szCs w:val="24"/>
        </w:rPr>
        <w:t>各类</w:t>
      </w:r>
      <w:r w:rsidRPr="0041350E">
        <w:rPr>
          <w:rFonts w:asciiTheme="minorEastAsia" w:eastAsiaTheme="minorEastAsia" w:hAnsiTheme="minorEastAsia" w:cs="宋体" w:hint="eastAsia"/>
          <w:kern w:val="0"/>
          <w:szCs w:val="24"/>
        </w:rPr>
        <w:t>基金份额净值时，按前一日基金资产净值的</w:t>
      </w:r>
      <w:r w:rsidRPr="0041350E">
        <w:rPr>
          <w:rFonts w:asciiTheme="minorEastAsia" w:eastAsiaTheme="minorEastAsia" w:hAnsiTheme="minorEastAsia" w:cs="宋体"/>
          <w:kern w:val="0"/>
          <w:szCs w:val="24"/>
        </w:rPr>
        <w:t>1.20%</w:t>
      </w:r>
      <w:r w:rsidRPr="0041350E">
        <w:rPr>
          <w:rFonts w:asciiTheme="minorEastAsia" w:eastAsiaTheme="minorEastAsia" w:hAnsiTheme="minorEastAsia" w:cs="宋体" w:hint="eastAsia"/>
          <w:kern w:val="0"/>
          <w:szCs w:val="24"/>
        </w:rPr>
        <w:t>年费率计算管理费，该费率可能高于或低于不同投资者最终适用的管理费率。在基金份额赎回、转出或基金合同终止的情形发生时，基金投资者实际收到的赎回款项或清算款项的金额可能与按披露的</w:t>
      </w:r>
      <w:r w:rsidR="00F578BA">
        <w:rPr>
          <w:rFonts w:asciiTheme="minorEastAsia" w:eastAsiaTheme="minorEastAsia" w:hAnsiTheme="minorEastAsia" w:cs="宋体" w:hint="eastAsia"/>
          <w:kern w:val="0"/>
          <w:szCs w:val="24"/>
        </w:rPr>
        <w:t>该类</w:t>
      </w:r>
      <w:r w:rsidRPr="0041350E">
        <w:rPr>
          <w:rFonts w:asciiTheme="minorEastAsia" w:eastAsiaTheme="minorEastAsia" w:hAnsiTheme="minorEastAsia" w:cs="宋体" w:hint="eastAsia"/>
          <w:kern w:val="0"/>
          <w:szCs w:val="24"/>
        </w:rPr>
        <w:t>基金份额净值计算的结果存在差异。投资者的实际赎回金额和清算资金以登记机构确认数据为准。</w:t>
      </w:r>
    </w:p>
    <w:p w14:paraId="798BED0C" w14:textId="0778A77F" w:rsidR="0041350E" w:rsidRPr="0041350E" w:rsidRDefault="0041350E" w:rsidP="0041350E">
      <w:pPr>
        <w:autoSpaceDE w:val="0"/>
        <w:autoSpaceDN w:val="0"/>
        <w:adjustRightInd w:val="0"/>
        <w:ind w:firstLine="480"/>
        <w:rPr>
          <w:rFonts w:asciiTheme="minorEastAsia" w:eastAsiaTheme="minorEastAsia" w:hAnsiTheme="minorEastAsia" w:cs="宋体"/>
          <w:kern w:val="0"/>
          <w:szCs w:val="24"/>
        </w:rPr>
      </w:pPr>
      <w:r w:rsidRPr="0041350E">
        <w:rPr>
          <w:rFonts w:asciiTheme="minorEastAsia" w:eastAsiaTheme="minorEastAsia" w:hAnsiTheme="minorEastAsia" w:cs="宋体" w:hint="eastAsia"/>
          <w:kern w:val="0"/>
          <w:szCs w:val="24"/>
        </w:rPr>
        <w:t>（</w:t>
      </w:r>
      <w:r w:rsidRPr="0041350E">
        <w:rPr>
          <w:rFonts w:asciiTheme="minorEastAsia" w:eastAsiaTheme="minorEastAsia" w:hAnsiTheme="minorEastAsia" w:cs="宋体"/>
          <w:kern w:val="0"/>
          <w:szCs w:val="24"/>
        </w:rPr>
        <w:t>3</w:t>
      </w:r>
      <w:r w:rsidRPr="0041350E">
        <w:rPr>
          <w:rFonts w:asciiTheme="minorEastAsia" w:eastAsiaTheme="minorEastAsia" w:hAnsiTheme="minorEastAsia" w:cs="宋体" w:hint="eastAsia"/>
          <w:kern w:val="0"/>
          <w:szCs w:val="24"/>
        </w:rPr>
        <w:t>）</w:t>
      </w:r>
      <w:bookmarkStart w:id="37" w:name="_Hlk196469952"/>
      <w:r w:rsidRPr="0041350E">
        <w:rPr>
          <w:rFonts w:asciiTheme="minorEastAsia" w:eastAsiaTheme="minorEastAsia" w:hAnsiTheme="minorEastAsia" w:cs="宋体" w:hint="eastAsia"/>
          <w:kern w:val="0"/>
          <w:szCs w:val="24"/>
        </w:rPr>
        <w:t>本基金采用浮动管理费的收费模式</w:t>
      </w:r>
      <w:bookmarkEnd w:id="37"/>
      <w:r w:rsidRPr="0041350E">
        <w:rPr>
          <w:rFonts w:asciiTheme="minorEastAsia" w:eastAsiaTheme="minorEastAsia" w:hAnsiTheme="minorEastAsia" w:cs="宋体" w:hint="eastAsia"/>
          <w:kern w:val="0"/>
          <w:szCs w:val="24"/>
        </w:rPr>
        <w:t>，不代表基金管理人对基金收益的保证。</w:t>
      </w:r>
    </w:p>
    <w:p w14:paraId="204CD563" w14:textId="77777777" w:rsidR="00595296" w:rsidRPr="006F4D70" w:rsidRDefault="002B7F4D">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br w:type="page"/>
      </w:r>
    </w:p>
    <w:p w14:paraId="3EA2F8C1" w14:textId="77777777" w:rsidR="00595296" w:rsidRPr="006F4D70" w:rsidRDefault="002B7F4D">
      <w:pPr>
        <w:pStyle w:val="1"/>
        <w:ind w:firstLine="602"/>
        <w:rPr>
          <w:rFonts w:asciiTheme="minorEastAsia" w:eastAsiaTheme="minorEastAsia" w:hAnsiTheme="minorEastAsia"/>
        </w:rPr>
      </w:pPr>
      <w:bookmarkStart w:id="38" w:name="_Toc24860"/>
      <w:bookmarkStart w:id="39" w:name="_Toc2465"/>
      <w:bookmarkStart w:id="40" w:name="_Toc21301"/>
      <w:bookmarkStart w:id="41" w:name="_Toc13020"/>
      <w:bookmarkStart w:id="42" w:name="_Toc19592"/>
      <w:bookmarkStart w:id="43" w:name="_Toc377998617"/>
      <w:bookmarkStart w:id="44" w:name="_Toc6617"/>
      <w:bookmarkStart w:id="45" w:name="_Toc31551"/>
      <w:bookmarkStart w:id="46" w:name="_Toc819"/>
      <w:bookmarkStart w:id="47" w:name="_Toc3224"/>
      <w:bookmarkStart w:id="48" w:name="_Toc22864"/>
      <w:bookmarkStart w:id="49" w:name="_Toc15067"/>
      <w:bookmarkStart w:id="50" w:name="_Toc198902614"/>
      <w:r w:rsidRPr="006F4D70">
        <w:rPr>
          <w:rFonts w:asciiTheme="minorEastAsia" w:eastAsiaTheme="minorEastAsia" w:hAnsiTheme="minorEastAsia" w:hint="eastAsia"/>
        </w:rPr>
        <w:lastRenderedPageBreak/>
        <w:t>第二部分    释义</w:t>
      </w:r>
      <w:bookmarkEnd w:id="29"/>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0D2DCA0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本基金合同中，除非文意另有所指，下列词语或简称具有如下含义：</w:t>
      </w:r>
    </w:p>
    <w:p w14:paraId="30AC0DB7" w14:textId="1CE2BC54"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基金或本基金</w:t>
      </w:r>
      <w:r w:rsidRPr="006F4D70">
        <w:rPr>
          <w:rFonts w:asciiTheme="minorEastAsia" w:eastAsiaTheme="minorEastAsia" w:hAnsiTheme="minorEastAsia" w:hint="eastAsia"/>
          <w:szCs w:val="24"/>
        </w:rPr>
        <w:t>：指</w:t>
      </w:r>
      <w:r w:rsidR="00A506CB" w:rsidRPr="006F4D70">
        <w:rPr>
          <w:rFonts w:asciiTheme="minorEastAsia" w:eastAsiaTheme="minorEastAsia" w:hAnsiTheme="minorEastAsia" w:hint="eastAsia"/>
          <w:szCs w:val="24"/>
        </w:rPr>
        <w:t>天弘</w:t>
      </w:r>
      <w:r w:rsidR="00570182">
        <w:rPr>
          <w:rFonts w:asciiTheme="minorEastAsia" w:eastAsiaTheme="minorEastAsia" w:hAnsiTheme="minorEastAsia" w:hint="eastAsia"/>
          <w:szCs w:val="24"/>
        </w:rPr>
        <w:t>乾元价值</w:t>
      </w:r>
      <w:r w:rsidR="00A506CB" w:rsidRPr="006F4D70">
        <w:rPr>
          <w:rFonts w:asciiTheme="minorEastAsia" w:eastAsiaTheme="minorEastAsia" w:hAnsiTheme="minorEastAsia" w:hint="eastAsia"/>
          <w:szCs w:val="24"/>
        </w:rPr>
        <w:t>混合型</w:t>
      </w:r>
      <w:r w:rsidRPr="006F4D70">
        <w:rPr>
          <w:rFonts w:asciiTheme="minorEastAsia" w:eastAsiaTheme="minorEastAsia" w:hAnsiTheme="minorEastAsia" w:hint="eastAsia"/>
          <w:szCs w:val="24"/>
        </w:rPr>
        <w:t>证券投资基金</w:t>
      </w:r>
    </w:p>
    <w:p w14:paraId="5396EE89" w14:textId="7225DB4C"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基金管理人：</w:t>
      </w:r>
      <w:r w:rsidRPr="006F4D70">
        <w:rPr>
          <w:rFonts w:asciiTheme="minorEastAsia" w:eastAsiaTheme="minorEastAsia" w:hAnsiTheme="minorEastAsia" w:hint="eastAsia"/>
          <w:szCs w:val="24"/>
        </w:rPr>
        <w:t>指</w:t>
      </w:r>
      <w:r w:rsidR="00A506CB" w:rsidRPr="006F4D70">
        <w:rPr>
          <w:rFonts w:asciiTheme="minorEastAsia" w:eastAsiaTheme="minorEastAsia" w:hAnsiTheme="minorEastAsia" w:hint="eastAsia"/>
          <w:szCs w:val="24"/>
        </w:rPr>
        <w:t>天弘基金管理有限</w:t>
      </w:r>
      <w:r w:rsidR="00DF74D4" w:rsidRPr="006F4D70">
        <w:rPr>
          <w:rFonts w:asciiTheme="minorEastAsia" w:eastAsiaTheme="minorEastAsia" w:hAnsiTheme="minorEastAsia" w:hint="eastAsia"/>
          <w:szCs w:val="24"/>
        </w:rPr>
        <w:t>公司</w:t>
      </w:r>
    </w:p>
    <w:p w14:paraId="6049DB6E" w14:textId="6CEBFC8D" w:rsidR="00595296" w:rsidRPr="006F4D70" w:rsidRDefault="002B7F4D">
      <w:pPr>
        <w:numPr>
          <w:ilvl w:val="0"/>
          <w:numId w:val="1"/>
        </w:numPr>
        <w:ind w:left="0" w:firstLine="482"/>
        <w:rPr>
          <w:rFonts w:asciiTheme="minorEastAsia" w:eastAsiaTheme="minorEastAsia" w:hAnsiTheme="minorEastAsia"/>
          <w:b/>
          <w:szCs w:val="24"/>
        </w:rPr>
      </w:pPr>
      <w:r w:rsidRPr="006F4D70">
        <w:rPr>
          <w:rFonts w:asciiTheme="minorEastAsia" w:eastAsiaTheme="minorEastAsia" w:hAnsiTheme="minorEastAsia" w:hint="eastAsia"/>
          <w:b/>
          <w:szCs w:val="24"/>
        </w:rPr>
        <w:t>基金托管人：</w:t>
      </w:r>
      <w:r w:rsidRPr="006F4D70">
        <w:rPr>
          <w:rFonts w:asciiTheme="minorEastAsia" w:eastAsiaTheme="minorEastAsia" w:hAnsiTheme="minorEastAsia" w:hint="eastAsia"/>
          <w:szCs w:val="24"/>
        </w:rPr>
        <w:t>指</w:t>
      </w:r>
      <w:r w:rsidR="00703B6C">
        <w:rPr>
          <w:rFonts w:asciiTheme="minorEastAsia" w:eastAsiaTheme="minorEastAsia" w:hAnsiTheme="minorEastAsia" w:hint="eastAsia"/>
          <w:szCs w:val="24"/>
        </w:rPr>
        <w:t>中国建设银行股份有限公司</w:t>
      </w:r>
    </w:p>
    <w:p w14:paraId="0C73E6C0" w14:textId="34448FD4"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基金合同或本基金合同：</w:t>
      </w:r>
      <w:r w:rsidRPr="006F4D70">
        <w:rPr>
          <w:rFonts w:asciiTheme="minorEastAsia" w:eastAsiaTheme="minorEastAsia" w:hAnsiTheme="minorEastAsia" w:hint="eastAsia"/>
          <w:szCs w:val="24"/>
        </w:rPr>
        <w:t>指《</w:t>
      </w:r>
      <w:r w:rsidR="00A506CB" w:rsidRPr="006F4D70">
        <w:rPr>
          <w:rFonts w:asciiTheme="minorEastAsia" w:eastAsiaTheme="minorEastAsia" w:hAnsiTheme="minorEastAsia" w:hint="eastAsia"/>
          <w:szCs w:val="24"/>
        </w:rPr>
        <w:t>天弘</w:t>
      </w:r>
      <w:r w:rsidR="00570182">
        <w:rPr>
          <w:rFonts w:asciiTheme="minorEastAsia" w:eastAsiaTheme="minorEastAsia" w:hAnsiTheme="minorEastAsia" w:hint="eastAsia"/>
          <w:szCs w:val="24"/>
        </w:rPr>
        <w:t>乾元价值</w:t>
      </w:r>
      <w:r w:rsidR="00A506CB" w:rsidRPr="006F4D70">
        <w:rPr>
          <w:rFonts w:asciiTheme="minorEastAsia" w:eastAsiaTheme="minorEastAsia" w:hAnsiTheme="minorEastAsia" w:hint="eastAsia"/>
          <w:szCs w:val="24"/>
        </w:rPr>
        <w:t>混合型</w:t>
      </w:r>
      <w:r w:rsidRPr="006F4D70">
        <w:rPr>
          <w:rFonts w:asciiTheme="minorEastAsia" w:eastAsiaTheme="minorEastAsia" w:hAnsiTheme="minorEastAsia" w:hint="eastAsia"/>
          <w:szCs w:val="24"/>
        </w:rPr>
        <w:t>证券投资基金基金合同》及对本基金合同的任何有效修订和补充</w:t>
      </w:r>
    </w:p>
    <w:p w14:paraId="55681AC8" w14:textId="454E935A"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托管协议：</w:t>
      </w:r>
      <w:r w:rsidRPr="006F4D70">
        <w:rPr>
          <w:rFonts w:asciiTheme="minorEastAsia" w:eastAsiaTheme="minorEastAsia" w:hAnsiTheme="minorEastAsia" w:hint="eastAsia"/>
          <w:szCs w:val="24"/>
        </w:rPr>
        <w:t>指基金管理人与基金托管人就本基金签订之《</w:t>
      </w:r>
      <w:r w:rsidR="00A506CB" w:rsidRPr="006F4D70">
        <w:rPr>
          <w:rFonts w:asciiTheme="minorEastAsia" w:eastAsiaTheme="minorEastAsia" w:hAnsiTheme="minorEastAsia" w:hint="eastAsia"/>
          <w:szCs w:val="24"/>
        </w:rPr>
        <w:t>天弘</w:t>
      </w:r>
      <w:r w:rsidR="00570182">
        <w:rPr>
          <w:rFonts w:asciiTheme="minorEastAsia" w:eastAsiaTheme="minorEastAsia" w:hAnsiTheme="minorEastAsia" w:hint="eastAsia"/>
          <w:szCs w:val="24"/>
        </w:rPr>
        <w:t>乾元价值</w:t>
      </w:r>
      <w:r w:rsidR="00A506CB" w:rsidRPr="006F4D70">
        <w:rPr>
          <w:rFonts w:asciiTheme="minorEastAsia" w:eastAsiaTheme="minorEastAsia" w:hAnsiTheme="minorEastAsia" w:hint="eastAsia"/>
          <w:szCs w:val="24"/>
        </w:rPr>
        <w:t>混合型</w:t>
      </w:r>
      <w:r w:rsidRPr="006F4D70">
        <w:rPr>
          <w:rFonts w:asciiTheme="minorEastAsia" w:eastAsiaTheme="minorEastAsia" w:hAnsiTheme="minorEastAsia" w:hint="eastAsia"/>
          <w:szCs w:val="24"/>
        </w:rPr>
        <w:t>证券投资基金托管协议》及对该托管协议的任何有效修订和补充</w:t>
      </w:r>
    </w:p>
    <w:p w14:paraId="15D84BFE" w14:textId="7277CDA4"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招募说明书：</w:t>
      </w:r>
      <w:r w:rsidRPr="006F4D70">
        <w:rPr>
          <w:rFonts w:asciiTheme="minorEastAsia" w:eastAsiaTheme="minorEastAsia" w:hAnsiTheme="minorEastAsia" w:hint="eastAsia"/>
          <w:szCs w:val="24"/>
        </w:rPr>
        <w:t>指《</w:t>
      </w:r>
      <w:r w:rsidR="00A506CB" w:rsidRPr="006F4D70">
        <w:rPr>
          <w:rFonts w:asciiTheme="minorEastAsia" w:eastAsiaTheme="minorEastAsia" w:hAnsiTheme="minorEastAsia" w:hint="eastAsia"/>
          <w:szCs w:val="24"/>
        </w:rPr>
        <w:t>天弘</w:t>
      </w:r>
      <w:r w:rsidR="00570182">
        <w:rPr>
          <w:rFonts w:asciiTheme="minorEastAsia" w:eastAsiaTheme="minorEastAsia" w:hAnsiTheme="minorEastAsia" w:hint="eastAsia"/>
          <w:szCs w:val="24"/>
        </w:rPr>
        <w:t>乾元价值</w:t>
      </w:r>
      <w:r w:rsidR="00A506CB" w:rsidRPr="006F4D70">
        <w:rPr>
          <w:rFonts w:asciiTheme="minorEastAsia" w:eastAsiaTheme="minorEastAsia" w:hAnsiTheme="minorEastAsia" w:hint="eastAsia"/>
          <w:szCs w:val="24"/>
        </w:rPr>
        <w:t>混合型</w:t>
      </w:r>
      <w:r w:rsidRPr="006F4D70">
        <w:rPr>
          <w:rFonts w:asciiTheme="minorEastAsia" w:eastAsiaTheme="minorEastAsia" w:hAnsiTheme="minorEastAsia" w:hint="eastAsia"/>
          <w:szCs w:val="24"/>
        </w:rPr>
        <w:t>证券投资基金招募说明书》及其更新</w:t>
      </w:r>
    </w:p>
    <w:p w14:paraId="25E800E1" w14:textId="791906A2"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基金产品资料概要：</w:t>
      </w:r>
      <w:r w:rsidRPr="006F4D70">
        <w:rPr>
          <w:rFonts w:asciiTheme="minorEastAsia" w:eastAsiaTheme="minorEastAsia" w:hAnsiTheme="minorEastAsia" w:hint="eastAsia"/>
          <w:szCs w:val="24"/>
        </w:rPr>
        <w:t>指《</w:t>
      </w:r>
      <w:r w:rsidR="00A506CB" w:rsidRPr="006F4D70">
        <w:rPr>
          <w:rFonts w:asciiTheme="minorEastAsia" w:eastAsiaTheme="minorEastAsia" w:hAnsiTheme="minorEastAsia" w:hint="eastAsia"/>
          <w:szCs w:val="24"/>
        </w:rPr>
        <w:t>天弘</w:t>
      </w:r>
      <w:r w:rsidR="00570182">
        <w:rPr>
          <w:rFonts w:asciiTheme="minorEastAsia" w:eastAsiaTheme="minorEastAsia" w:hAnsiTheme="minorEastAsia" w:hint="eastAsia"/>
          <w:szCs w:val="24"/>
        </w:rPr>
        <w:t>乾元价值</w:t>
      </w:r>
      <w:r w:rsidR="00A506CB" w:rsidRPr="006F4D70">
        <w:rPr>
          <w:rFonts w:asciiTheme="minorEastAsia" w:eastAsiaTheme="minorEastAsia" w:hAnsiTheme="minorEastAsia" w:hint="eastAsia"/>
          <w:szCs w:val="24"/>
        </w:rPr>
        <w:t>混合型</w:t>
      </w:r>
      <w:r w:rsidRPr="006F4D70">
        <w:rPr>
          <w:rFonts w:asciiTheme="minorEastAsia" w:eastAsiaTheme="minorEastAsia" w:hAnsiTheme="minorEastAsia" w:hint="eastAsia"/>
          <w:szCs w:val="24"/>
        </w:rPr>
        <w:t>证券投资基金基金产品资料概要》及其更新</w:t>
      </w:r>
    </w:p>
    <w:p w14:paraId="507674A8" w14:textId="50207102"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基金份额发售公告：</w:t>
      </w:r>
      <w:r w:rsidRPr="006F4D70">
        <w:rPr>
          <w:rFonts w:asciiTheme="minorEastAsia" w:eastAsiaTheme="minorEastAsia" w:hAnsiTheme="minorEastAsia" w:hint="eastAsia"/>
          <w:szCs w:val="24"/>
        </w:rPr>
        <w:t>指《</w:t>
      </w:r>
      <w:r w:rsidR="00A506CB" w:rsidRPr="006F4D70">
        <w:rPr>
          <w:rFonts w:asciiTheme="minorEastAsia" w:eastAsiaTheme="minorEastAsia" w:hAnsiTheme="minorEastAsia" w:hint="eastAsia"/>
          <w:szCs w:val="24"/>
        </w:rPr>
        <w:t>天弘</w:t>
      </w:r>
      <w:r w:rsidR="00570182">
        <w:rPr>
          <w:rFonts w:asciiTheme="minorEastAsia" w:eastAsiaTheme="minorEastAsia" w:hAnsiTheme="minorEastAsia" w:hint="eastAsia"/>
          <w:szCs w:val="24"/>
        </w:rPr>
        <w:t>乾元价值</w:t>
      </w:r>
      <w:r w:rsidR="00A506CB" w:rsidRPr="006F4D70">
        <w:rPr>
          <w:rFonts w:asciiTheme="minorEastAsia" w:eastAsiaTheme="minorEastAsia" w:hAnsiTheme="minorEastAsia" w:hint="eastAsia"/>
          <w:szCs w:val="24"/>
        </w:rPr>
        <w:t>混合型</w:t>
      </w:r>
      <w:r w:rsidRPr="006F4D70">
        <w:rPr>
          <w:rFonts w:asciiTheme="minorEastAsia" w:eastAsiaTheme="minorEastAsia" w:hAnsiTheme="minorEastAsia" w:hint="eastAsia"/>
          <w:szCs w:val="24"/>
        </w:rPr>
        <w:t>证券投资基金基金份额发售公告》</w:t>
      </w:r>
    </w:p>
    <w:p w14:paraId="6B661E5B"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法律法规：</w:t>
      </w:r>
      <w:r w:rsidRPr="006F4D70">
        <w:rPr>
          <w:rFonts w:asciiTheme="minorEastAsia" w:eastAsiaTheme="minorEastAsia" w:hAnsiTheme="minorEastAsia" w:hint="eastAsia"/>
          <w:szCs w:val="24"/>
        </w:rPr>
        <w:t>指中国现行有效并公布实施的法律、行政法规、规范性文件、</w:t>
      </w:r>
      <w:r w:rsidRPr="006F4D70">
        <w:rPr>
          <w:rFonts w:asciiTheme="minorEastAsia" w:eastAsiaTheme="minorEastAsia" w:hAnsiTheme="minorEastAsia"/>
          <w:bCs/>
          <w:szCs w:val="24"/>
        </w:rPr>
        <w:t>司法</w:t>
      </w:r>
      <w:r w:rsidRPr="006F4D70">
        <w:rPr>
          <w:rFonts w:asciiTheme="minorEastAsia" w:eastAsiaTheme="minorEastAsia" w:hAnsiTheme="minorEastAsia"/>
          <w:szCs w:val="24"/>
        </w:rPr>
        <w:t>解释</w:t>
      </w:r>
      <w:r w:rsidRPr="006F4D70">
        <w:rPr>
          <w:rFonts w:asciiTheme="minorEastAsia" w:eastAsiaTheme="minorEastAsia" w:hAnsiTheme="minorEastAsia"/>
          <w:bCs/>
          <w:szCs w:val="24"/>
        </w:rPr>
        <w:t>、行政规章以及其他对基金合同当事人有约束力的决定、决议、通知等</w:t>
      </w:r>
    </w:p>
    <w:p w14:paraId="47A77448"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《基金法》：</w:t>
      </w:r>
      <w:r w:rsidRPr="006F4D70">
        <w:rPr>
          <w:rFonts w:asciiTheme="minorEastAsia" w:eastAsiaTheme="minorEastAsia" w:hAnsiTheme="minorEastAsia" w:hint="eastAsia"/>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E24C54B"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《销售办法》</w:t>
      </w:r>
      <w:r w:rsidRPr="006F4D70">
        <w:rPr>
          <w:rFonts w:asciiTheme="minorEastAsia" w:eastAsiaTheme="minorEastAsia" w:hAnsiTheme="minorEastAsia" w:hint="eastAsia"/>
          <w:szCs w:val="24"/>
        </w:rPr>
        <w:t>：</w:t>
      </w:r>
      <w:r w:rsidRPr="006F4D70">
        <w:rPr>
          <w:rFonts w:asciiTheme="minorEastAsia" w:eastAsiaTheme="minorEastAsia" w:hAnsiTheme="minorEastAsia"/>
          <w:bCs/>
        </w:rPr>
        <w:t>指中国证监会2020年8月28日颁布、同年10月1日实施的《</w:t>
      </w:r>
      <w:r w:rsidRPr="006F4D70">
        <w:rPr>
          <w:rFonts w:asciiTheme="minorEastAsia" w:eastAsiaTheme="minorEastAsia" w:hAnsiTheme="minorEastAsia" w:hint="eastAsia"/>
          <w:bCs/>
        </w:rPr>
        <w:t>公开募集证券投资基金销售机构监督管理办法</w:t>
      </w:r>
      <w:r w:rsidRPr="006F4D70">
        <w:rPr>
          <w:rFonts w:asciiTheme="minorEastAsia" w:eastAsiaTheme="minorEastAsia" w:hAnsiTheme="minorEastAsia"/>
          <w:bCs/>
        </w:rPr>
        <w:t>》及颁布机关对其不时做出的修订</w:t>
      </w:r>
    </w:p>
    <w:p w14:paraId="63B1D7F6"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《信息披露办法》</w:t>
      </w:r>
      <w:r w:rsidRPr="006F4D70">
        <w:rPr>
          <w:rFonts w:asciiTheme="minorEastAsia" w:eastAsiaTheme="minorEastAsia" w:hAnsiTheme="minorEastAsia" w:hint="eastAsia"/>
          <w:szCs w:val="24"/>
        </w:rPr>
        <w:t>：指</w:t>
      </w:r>
      <w:r w:rsidRPr="006F4D70">
        <w:rPr>
          <w:rFonts w:asciiTheme="minorEastAsia" w:eastAsiaTheme="minorEastAsia" w:hAnsiTheme="minorEastAsia"/>
          <w:szCs w:val="24"/>
        </w:rPr>
        <w:t>中国证监会20</w:t>
      </w:r>
      <w:r w:rsidRPr="006F4D70">
        <w:rPr>
          <w:rFonts w:asciiTheme="minorEastAsia" w:eastAsiaTheme="minorEastAsia" w:hAnsiTheme="minorEastAsia" w:hint="eastAsia"/>
          <w:szCs w:val="24"/>
        </w:rPr>
        <w:t>19</w:t>
      </w:r>
      <w:r w:rsidRPr="006F4D70">
        <w:rPr>
          <w:rFonts w:asciiTheme="minorEastAsia" w:eastAsiaTheme="minorEastAsia" w:hAnsiTheme="minorEastAsia"/>
          <w:szCs w:val="24"/>
        </w:rPr>
        <w:t>年</w:t>
      </w:r>
      <w:r w:rsidRPr="006F4D70">
        <w:rPr>
          <w:rFonts w:asciiTheme="minorEastAsia" w:eastAsiaTheme="minorEastAsia" w:hAnsiTheme="minorEastAsia" w:hint="eastAsia"/>
          <w:szCs w:val="24"/>
        </w:rPr>
        <w:t>7</w:t>
      </w:r>
      <w:r w:rsidRPr="006F4D70">
        <w:rPr>
          <w:rFonts w:asciiTheme="minorEastAsia" w:eastAsiaTheme="minorEastAsia" w:hAnsiTheme="minorEastAsia"/>
          <w:szCs w:val="24"/>
        </w:rPr>
        <w:t>月</w:t>
      </w:r>
      <w:r w:rsidRPr="006F4D70">
        <w:rPr>
          <w:rFonts w:asciiTheme="minorEastAsia" w:eastAsiaTheme="minorEastAsia" w:hAnsiTheme="minorEastAsia" w:hint="eastAsia"/>
          <w:szCs w:val="24"/>
        </w:rPr>
        <w:t>26</w:t>
      </w:r>
      <w:r w:rsidRPr="006F4D70">
        <w:rPr>
          <w:rFonts w:asciiTheme="minorEastAsia" w:eastAsiaTheme="minorEastAsia" w:hAnsiTheme="minorEastAsia"/>
          <w:szCs w:val="24"/>
        </w:rPr>
        <w:t>日颁布、同年</w:t>
      </w:r>
      <w:r w:rsidRPr="006F4D70">
        <w:rPr>
          <w:rFonts w:asciiTheme="minorEastAsia" w:eastAsiaTheme="minorEastAsia" w:hAnsiTheme="minorEastAsia" w:hint="eastAsia"/>
          <w:szCs w:val="24"/>
        </w:rPr>
        <w:t>9</w:t>
      </w:r>
      <w:r w:rsidRPr="006F4D70">
        <w:rPr>
          <w:rFonts w:asciiTheme="minorEastAsia" w:eastAsiaTheme="minorEastAsia" w:hAnsiTheme="minorEastAsia"/>
          <w:szCs w:val="24"/>
        </w:rPr>
        <w:t>月1日实施</w:t>
      </w:r>
      <w:r w:rsidRPr="006F4D70">
        <w:rPr>
          <w:rFonts w:asciiTheme="minorEastAsia" w:eastAsiaTheme="minorEastAsia" w:hAnsiTheme="minorEastAsia" w:hint="eastAsia"/>
          <w:bCs/>
          <w:szCs w:val="24"/>
        </w:rPr>
        <w:t>，并经2020年3月20日中国证监会《关于修改部分证券期货规章的决</w:t>
      </w:r>
      <w:r w:rsidRPr="006F4D70">
        <w:rPr>
          <w:rFonts w:asciiTheme="minorEastAsia" w:eastAsiaTheme="minorEastAsia" w:hAnsiTheme="minorEastAsia" w:hint="eastAsia"/>
          <w:bCs/>
          <w:szCs w:val="24"/>
        </w:rPr>
        <w:lastRenderedPageBreak/>
        <w:t>定》修正的</w:t>
      </w:r>
      <w:r w:rsidRPr="006F4D70">
        <w:rPr>
          <w:rFonts w:asciiTheme="minorEastAsia" w:eastAsiaTheme="minorEastAsia" w:hAnsiTheme="minorEastAsia"/>
          <w:szCs w:val="24"/>
        </w:rPr>
        <w:t>《</w:t>
      </w:r>
      <w:r w:rsidRPr="006F4D70">
        <w:rPr>
          <w:rFonts w:asciiTheme="minorEastAsia" w:eastAsiaTheme="minorEastAsia" w:hAnsiTheme="minorEastAsia" w:hint="eastAsia"/>
          <w:szCs w:val="24"/>
        </w:rPr>
        <w:t>公开募集</w:t>
      </w:r>
      <w:r w:rsidRPr="006F4D70">
        <w:rPr>
          <w:rFonts w:asciiTheme="minorEastAsia" w:eastAsiaTheme="minorEastAsia" w:hAnsiTheme="minorEastAsia"/>
          <w:szCs w:val="24"/>
        </w:rPr>
        <w:t>证券投资基金信息披露管理办法》及颁布机关对其不时做出的修订</w:t>
      </w:r>
    </w:p>
    <w:p w14:paraId="38B6F32D"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《运作办法》</w:t>
      </w:r>
      <w:r w:rsidRPr="006F4D70">
        <w:rPr>
          <w:rFonts w:asciiTheme="minorEastAsia" w:eastAsiaTheme="minorEastAsia" w:hAnsiTheme="minorEastAsia" w:hint="eastAsia"/>
          <w:szCs w:val="24"/>
        </w:rPr>
        <w:t>：指中国证监会2014年7月7日颁布、同年8月8日实施的</w:t>
      </w:r>
      <w:r w:rsidRPr="006F4D70">
        <w:rPr>
          <w:rFonts w:asciiTheme="minorEastAsia" w:eastAsiaTheme="minorEastAsia" w:hAnsiTheme="minorEastAsia"/>
          <w:szCs w:val="24"/>
        </w:rPr>
        <w:t>《</w:t>
      </w:r>
      <w:r w:rsidRPr="006F4D70">
        <w:rPr>
          <w:rFonts w:asciiTheme="minorEastAsia" w:eastAsiaTheme="minorEastAsia" w:hAnsiTheme="minorEastAsia" w:hint="eastAsia"/>
          <w:szCs w:val="24"/>
        </w:rPr>
        <w:t>公开募集证券投资基金运作管理办法</w:t>
      </w:r>
      <w:r w:rsidRPr="006F4D70">
        <w:rPr>
          <w:rFonts w:asciiTheme="minorEastAsia" w:eastAsiaTheme="minorEastAsia" w:hAnsiTheme="minorEastAsia"/>
          <w:szCs w:val="24"/>
        </w:rPr>
        <w:t>》及颁布机关对其不时做出的修订</w:t>
      </w:r>
    </w:p>
    <w:p w14:paraId="5D9BD405"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《流动性风险管理规定》：</w:t>
      </w:r>
      <w:r w:rsidRPr="006F4D70">
        <w:rPr>
          <w:rFonts w:asciiTheme="minorEastAsia" w:eastAsiaTheme="minorEastAsia" w:hAnsiTheme="minorEastAsia" w:hint="eastAsia"/>
          <w:szCs w:val="24"/>
        </w:rPr>
        <w:t>指中国证监会2017年8月31日颁布、同年10月1日实施的</w:t>
      </w:r>
      <w:r w:rsidRPr="006F4D70">
        <w:rPr>
          <w:rFonts w:asciiTheme="minorEastAsia" w:eastAsiaTheme="minorEastAsia" w:hAnsiTheme="minorEastAsia"/>
          <w:szCs w:val="24"/>
        </w:rPr>
        <w:t>《</w:t>
      </w:r>
      <w:r w:rsidRPr="006F4D70">
        <w:rPr>
          <w:rFonts w:asciiTheme="minorEastAsia" w:eastAsiaTheme="minorEastAsia" w:hAnsiTheme="minorEastAsia" w:hint="eastAsia"/>
          <w:szCs w:val="24"/>
        </w:rPr>
        <w:t>公开募集开放式证券投资基金流动性风险管理规定</w:t>
      </w:r>
      <w:r w:rsidRPr="006F4D70">
        <w:rPr>
          <w:rFonts w:asciiTheme="minorEastAsia" w:eastAsiaTheme="minorEastAsia" w:hAnsiTheme="minorEastAsia"/>
          <w:szCs w:val="24"/>
        </w:rPr>
        <w:t>》及颁布机关对其不时做出的修订</w:t>
      </w:r>
    </w:p>
    <w:p w14:paraId="3E21B961"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中国证监会</w:t>
      </w:r>
      <w:r w:rsidRPr="006F4D70">
        <w:rPr>
          <w:rFonts w:asciiTheme="minorEastAsia" w:eastAsiaTheme="minorEastAsia" w:hAnsiTheme="minorEastAsia" w:hint="eastAsia"/>
          <w:szCs w:val="24"/>
        </w:rPr>
        <w:t>：指中国证券监督管理委员会</w:t>
      </w:r>
    </w:p>
    <w:p w14:paraId="2ED197DB"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b/>
          <w:szCs w:val="24"/>
        </w:rPr>
        <w:t>银行业监督管理机构</w:t>
      </w:r>
      <w:r w:rsidRPr="006F4D70">
        <w:rPr>
          <w:rFonts w:asciiTheme="minorEastAsia" w:eastAsiaTheme="minorEastAsia" w:hAnsiTheme="minorEastAsia"/>
          <w:szCs w:val="24"/>
        </w:rPr>
        <w:t>：指中国人民银行和/或</w:t>
      </w:r>
      <w:r w:rsidRPr="006F4D70">
        <w:rPr>
          <w:rFonts w:asciiTheme="minorEastAsia" w:eastAsiaTheme="minorEastAsia" w:hAnsiTheme="minorEastAsia" w:hint="eastAsia"/>
        </w:rPr>
        <w:t>国家金融监督管理总局</w:t>
      </w:r>
    </w:p>
    <w:p w14:paraId="39BB6953"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基金合同当事人</w:t>
      </w:r>
      <w:r w:rsidRPr="006F4D70">
        <w:rPr>
          <w:rFonts w:asciiTheme="minorEastAsia" w:eastAsiaTheme="minorEastAsia" w:hAnsiTheme="minorEastAsia" w:hint="eastAsia"/>
          <w:szCs w:val="24"/>
        </w:rPr>
        <w:t>：</w:t>
      </w:r>
      <w:r w:rsidRPr="006F4D70">
        <w:rPr>
          <w:rFonts w:asciiTheme="minorEastAsia" w:eastAsiaTheme="minorEastAsia" w:hAnsiTheme="minorEastAsia"/>
          <w:szCs w:val="24"/>
        </w:rPr>
        <w:t>指受基金合同约束，根据基金合同享有权利并承担义务的法律主体，包括基金管理人、基金托管人和基金份额持有人</w:t>
      </w:r>
    </w:p>
    <w:p w14:paraId="65C47AE7"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个人投资者：</w:t>
      </w:r>
      <w:r w:rsidRPr="006F4D70">
        <w:rPr>
          <w:rFonts w:asciiTheme="minorEastAsia" w:eastAsiaTheme="minorEastAsia" w:hAnsiTheme="minorEastAsia" w:hint="eastAsia"/>
          <w:szCs w:val="24"/>
        </w:rPr>
        <w:t>指依据有关法律法规规定可投资于证券投资基金的自然人</w:t>
      </w:r>
    </w:p>
    <w:p w14:paraId="3DABE362"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机构投资者：</w:t>
      </w:r>
      <w:r w:rsidRPr="006F4D70">
        <w:rPr>
          <w:rFonts w:asciiTheme="minorEastAsia" w:eastAsiaTheme="minorEastAsia" w:hAnsiTheme="minorEastAsia" w:hint="eastAsia"/>
          <w:szCs w:val="24"/>
        </w:rPr>
        <w:t>指依法可以投资证券投资基金的、在</w:t>
      </w:r>
      <w:r w:rsidRPr="006F4D70">
        <w:rPr>
          <w:rFonts w:asciiTheme="minorEastAsia" w:eastAsiaTheme="minorEastAsia" w:hAnsiTheme="minorEastAsia"/>
          <w:bCs/>
          <w:szCs w:val="24"/>
        </w:rPr>
        <w:t>中华人民共和国境内</w:t>
      </w:r>
      <w:r w:rsidRPr="006F4D70">
        <w:rPr>
          <w:rFonts w:asciiTheme="minorEastAsia" w:eastAsiaTheme="minorEastAsia" w:hAnsiTheme="minorEastAsia" w:hint="eastAsia"/>
          <w:szCs w:val="24"/>
        </w:rPr>
        <w:t>合法登记并存续或经有关政府部门批准设立并存续的企业法人、事业法人、社会团体或其他组织</w:t>
      </w:r>
    </w:p>
    <w:p w14:paraId="063EFCEC"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合格境外投资者：</w:t>
      </w:r>
      <w:r w:rsidRPr="006F4D70">
        <w:rPr>
          <w:rFonts w:asciiTheme="minorEastAsia" w:eastAsiaTheme="minorEastAsia" w:hAnsiTheme="minorEastAsia" w:hint="eastAsia"/>
          <w:szCs w:val="24"/>
        </w:rPr>
        <w:t>指</w:t>
      </w:r>
      <w:r w:rsidRPr="006F4D70">
        <w:rPr>
          <w:rFonts w:asciiTheme="minorEastAsia" w:eastAsiaTheme="minorEastAsia" w:hAnsiTheme="minorEastAsia" w:hint="eastAsia"/>
          <w:bCs/>
          <w:szCs w:val="24"/>
        </w:rPr>
        <w:t>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979A6CD"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投资人、投资者：</w:t>
      </w:r>
      <w:r w:rsidRPr="006F4D70">
        <w:rPr>
          <w:rFonts w:asciiTheme="minorEastAsia" w:eastAsiaTheme="minorEastAsia" w:hAnsiTheme="minorEastAsia" w:hint="eastAsia"/>
          <w:szCs w:val="24"/>
        </w:rPr>
        <w:t>指个人投资者、机构投资者、合格境外</w:t>
      </w:r>
      <w:r w:rsidRPr="006F4D70">
        <w:rPr>
          <w:rFonts w:asciiTheme="minorEastAsia" w:eastAsiaTheme="minorEastAsia" w:hAnsiTheme="minorEastAsia" w:hint="eastAsia"/>
          <w:bCs/>
          <w:szCs w:val="24"/>
        </w:rPr>
        <w:t>投资者</w:t>
      </w:r>
      <w:r w:rsidRPr="006F4D70">
        <w:rPr>
          <w:rFonts w:asciiTheme="minorEastAsia" w:eastAsiaTheme="minorEastAsia" w:hAnsiTheme="minorEastAsia"/>
          <w:bCs/>
          <w:szCs w:val="24"/>
        </w:rPr>
        <w:t>以及</w:t>
      </w:r>
      <w:r w:rsidRPr="006F4D70">
        <w:rPr>
          <w:rFonts w:asciiTheme="minorEastAsia" w:eastAsiaTheme="minorEastAsia" w:hAnsiTheme="minorEastAsia" w:hint="eastAsia"/>
          <w:szCs w:val="24"/>
        </w:rPr>
        <w:t>法律法规或中国证监会允许购买证券投资基金的其他投资人的合称</w:t>
      </w:r>
    </w:p>
    <w:p w14:paraId="0B00E1BD"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基金份额持有人：</w:t>
      </w:r>
      <w:r w:rsidRPr="006F4D70">
        <w:rPr>
          <w:rFonts w:asciiTheme="minorEastAsia" w:eastAsiaTheme="minorEastAsia" w:hAnsiTheme="minorEastAsia" w:hint="eastAsia"/>
          <w:szCs w:val="24"/>
        </w:rPr>
        <w:t>指</w:t>
      </w:r>
      <w:r w:rsidRPr="006F4D70">
        <w:rPr>
          <w:rFonts w:asciiTheme="minorEastAsia" w:eastAsiaTheme="minorEastAsia" w:hAnsiTheme="minorEastAsia"/>
          <w:bCs/>
          <w:szCs w:val="24"/>
        </w:rPr>
        <w:t>依基金合同和招募说明书</w:t>
      </w:r>
      <w:r w:rsidRPr="006F4D70">
        <w:rPr>
          <w:rFonts w:asciiTheme="minorEastAsia" w:eastAsiaTheme="minorEastAsia" w:hAnsiTheme="minorEastAsia" w:hint="eastAsia"/>
          <w:szCs w:val="24"/>
        </w:rPr>
        <w:t>合法取得基金份额的投资人</w:t>
      </w:r>
    </w:p>
    <w:p w14:paraId="3BE0CC47" w14:textId="77777777" w:rsidR="00595296" w:rsidRPr="006F4D70" w:rsidRDefault="002B7F4D">
      <w:pPr>
        <w:pStyle w:val="12"/>
        <w:numPr>
          <w:ilvl w:val="0"/>
          <w:numId w:val="1"/>
        </w:numPr>
        <w:ind w:left="0" w:firstLine="482"/>
        <w:rPr>
          <w:rFonts w:asciiTheme="minorEastAsia" w:eastAsiaTheme="minorEastAsia" w:hAnsiTheme="minorEastAsia"/>
        </w:rPr>
      </w:pPr>
      <w:r w:rsidRPr="006F4D70">
        <w:rPr>
          <w:rFonts w:asciiTheme="minorEastAsia" w:eastAsiaTheme="minorEastAsia" w:hAnsiTheme="minorEastAsia" w:hint="eastAsia"/>
          <w:b/>
        </w:rPr>
        <w:t>基金销售业务：</w:t>
      </w:r>
      <w:r w:rsidRPr="006F4D70">
        <w:rPr>
          <w:rFonts w:asciiTheme="minorEastAsia" w:eastAsiaTheme="minorEastAsia" w:hAnsiTheme="minorEastAsia" w:hint="eastAsia"/>
        </w:rPr>
        <w:t>指基金管理人或销售机构宣传推介基金，发售基金份额，办理基金份额的申购、赎回、转换、转托管及定期定额投资等业务</w:t>
      </w:r>
    </w:p>
    <w:p w14:paraId="3A09979C" w14:textId="772758A4"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销售机构：</w:t>
      </w:r>
      <w:r w:rsidRPr="006F4D70">
        <w:rPr>
          <w:rFonts w:asciiTheme="minorEastAsia" w:eastAsiaTheme="minorEastAsia" w:hAnsiTheme="minorEastAsia" w:hint="eastAsia"/>
          <w:szCs w:val="24"/>
        </w:rPr>
        <w:t>指基金管理人以及符合《销售办法》和中国证监会规定的其他条件，取得基金销售业务资格并与基金管理人签订了基金销售服务协议，办理基金销售业务的机构</w:t>
      </w:r>
      <w:r w:rsidR="00076D15" w:rsidRPr="00046496">
        <w:rPr>
          <w:rFonts w:ascii="宋体" w:hAnsi="Calibri" w:hint="eastAsia"/>
          <w:bCs/>
          <w:szCs w:val="24"/>
        </w:rPr>
        <w:t>（后者简称“代销机构”）</w:t>
      </w:r>
    </w:p>
    <w:p w14:paraId="1D0A1105"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登记业务</w:t>
      </w:r>
      <w:r w:rsidRPr="006F4D70">
        <w:rPr>
          <w:rFonts w:asciiTheme="minorEastAsia" w:eastAsiaTheme="minorEastAsia" w:hAnsiTheme="minorEastAsia" w:hint="eastAsia"/>
          <w:szCs w:val="24"/>
        </w:rPr>
        <w:t>：指基金登记、存管、过户、清算和结算业务，具体内容包括</w:t>
      </w:r>
      <w:r w:rsidRPr="006F4D70">
        <w:rPr>
          <w:rFonts w:asciiTheme="minorEastAsia" w:eastAsiaTheme="minorEastAsia" w:hAnsiTheme="minorEastAsia" w:hint="eastAsia"/>
          <w:szCs w:val="24"/>
        </w:rPr>
        <w:lastRenderedPageBreak/>
        <w:t>投资人基金账户的建立和管理、基金份额登记、基金销售业务的确认、清算和结算、代理发放红利、建立并保管基金份额持有人名册和办理非交易过户等</w:t>
      </w:r>
    </w:p>
    <w:p w14:paraId="263B9C06" w14:textId="1A2019FF"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登记机构：</w:t>
      </w:r>
      <w:r w:rsidRPr="006F4D70">
        <w:rPr>
          <w:rFonts w:asciiTheme="minorEastAsia" w:eastAsiaTheme="minorEastAsia" w:hAnsiTheme="minorEastAsia" w:hint="eastAsia"/>
          <w:bCs/>
          <w:szCs w:val="24"/>
        </w:rPr>
        <w:t>指办理基金登记业务的机构，本基金的登记机构为</w:t>
      </w:r>
      <w:r w:rsidR="00BC06B9" w:rsidRPr="006F4D70">
        <w:rPr>
          <w:rFonts w:asciiTheme="minorEastAsia" w:eastAsiaTheme="minorEastAsia" w:hAnsiTheme="minorEastAsia" w:hint="eastAsia"/>
          <w:bCs/>
          <w:szCs w:val="24"/>
        </w:rPr>
        <w:t>天弘基金管理有限</w:t>
      </w:r>
      <w:r w:rsidR="00DF74D4" w:rsidRPr="006F4D70">
        <w:rPr>
          <w:rFonts w:asciiTheme="minorEastAsia" w:eastAsiaTheme="minorEastAsia" w:hAnsiTheme="minorEastAsia" w:hint="eastAsia"/>
          <w:bCs/>
          <w:szCs w:val="24"/>
        </w:rPr>
        <w:t>公司</w:t>
      </w:r>
      <w:r w:rsidRPr="006F4D70">
        <w:rPr>
          <w:rFonts w:asciiTheme="minorEastAsia" w:eastAsiaTheme="minorEastAsia" w:hAnsiTheme="minorEastAsia" w:hint="eastAsia"/>
          <w:bCs/>
          <w:szCs w:val="24"/>
        </w:rPr>
        <w:t>或接受</w:t>
      </w:r>
      <w:r w:rsidR="00BC06B9" w:rsidRPr="006F4D70">
        <w:rPr>
          <w:rFonts w:asciiTheme="minorEastAsia" w:eastAsiaTheme="minorEastAsia" w:hAnsiTheme="minorEastAsia" w:hint="eastAsia"/>
          <w:bCs/>
          <w:szCs w:val="24"/>
        </w:rPr>
        <w:t>天弘基金管理有限</w:t>
      </w:r>
      <w:r w:rsidR="00DF74D4" w:rsidRPr="006F4D70">
        <w:rPr>
          <w:rFonts w:asciiTheme="minorEastAsia" w:eastAsiaTheme="minorEastAsia" w:hAnsiTheme="minorEastAsia" w:hint="eastAsia"/>
          <w:bCs/>
          <w:szCs w:val="24"/>
        </w:rPr>
        <w:t>公司</w:t>
      </w:r>
      <w:r w:rsidRPr="006F4D70">
        <w:rPr>
          <w:rFonts w:asciiTheme="minorEastAsia" w:eastAsiaTheme="minorEastAsia" w:hAnsiTheme="minorEastAsia" w:hint="eastAsia"/>
          <w:bCs/>
          <w:szCs w:val="24"/>
        </w:rPr>
        <w:t>委托代为办理基金登记业务的机构</w:t>
      </w:r>
    </w:p>
    <w:p w14:paraId="57DD564A"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b/>
          <w:bCs/>
          <w:szCs w:val="24"/>
        </w:rPr>
        <w:t>基金账户：</w:t>
      </w:r>
      <w:r w:rsidRPr="006F4D70">
        <w:rPr>
          <w:rFonts w:asciiTheme="minorEastAsia" w:eastAsiaTheme="minorEastAsia" w:hAnsiTheme="minorEastAsia"/>
          <w:bCs/>
          <w:szCs w:val="24"/>
        </w:rPr>
        <w:t>指登记机构为投资人开立的、记录其持有的、基金管理人所管理的基金份额余额及其变动情况的账户</w:t>
      </w:r>
    </w:p>
    <w:p w14:paraId="614432FE"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基金交易账户：</w:t>
      </w:r>
      <w:r w:rsidRPr="006F4D70">
        <w:rPr>
          <w:rFonts w:asciiTheme="minorEastAsia" w:eastAsiaTheme="minorEastAsia" w:hAnsiTheme="minorEastAsia" w:hint="eastAsia"/>
          <w:szCs w:val="24"/>
        </w:rPr>
        <w:t>指销售机构为投资人开立的、记录投资人通过该销售机构办理认购、申购、赎回、转换、转托管及定期定额投资等业务而引起的基金份额变动及结余情况的账户</w:t>
      </w:r>
    </w:p>
    <w:p w14:paraId="10651983"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基金合同生效日：</w:t>
      </w:r>
      <w:r w:rsidRPr="006F4D70">
        <w:rPr>
          <w:rFonts w:asciiTheme="minorEastAsia" w:eastAsiaTheme="minorEastAsia" w:hAnsiTheme="minorEastAsia" w:hint="eastAsia"/>
          <w:szCs w:val="24"/>
        </w:rPr>
        <w:t>指基金募集达到法律法规规定及基金合同约定的条件，基金管理人向中国证监会办理基金备案手续完毕，并获得中国证监会书面确认的日期</w:t>
      </w:r>
    </w:p>
    <w:p w14:paraId="119064E6"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b/>
          <w:szCs w:val="24"/>
        </w:rPr>
        <w:t>基金合同终止日</w:t>
      </w:r>
      <w:r w:rsidRPr="006F4D70">
        <w:rPr>
          <w:rFonts w:asciiTheme="minorEastAsia" w:eastAsiaTheme="minorEastAsia" w:hAnsiTheme="minorEastAsia"/>
          <w:szCs w:val="24"/>
        </w:rPr>
        <w:t>：指基金合同规定的基金合同终止事由出现后，基金财产清算完毕，清算结果报中国证监会备案并予以公告的日期</w:t>
      </w:r>
    </w:p>
    <w:p w14:paraId="6B7B88C5"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基金募集期：</w:t>
      </w:r>
      <w:r w:rsidRPr="006F4D70">
        <w:rPr>
          <w:rFonts w:asciiTheme="minorEastAsia" w:eastAsiaTheme="minorEastAsia" w:hAnsiTheme="minorEastAsia" w:hint="eastAsia"/>
          <w:szCs w:val="24"/>
        </w:rPr>
        <w:t>指自基金份额发售之日起至发售结束之日止的期间，最长不得超过3个月</w:t>
      </w:r>
    </w:p>
    <w:p w14:paraId="7D3AD6C3"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存续期：</w:t>
      </w:r>
      <w:r w:rsidRPr="006F4D70">
        <w:rPr>
          <w:rFonts w:asciiTheme="minorEastAsia" w:eastAsiaTheme="minorEastAsia" w:hAnsiTheme="minorEastAsia" w:hint="eastAsia"/>
          <w:szCs w:val="24"/>
        </w:rPr>
        <w:t>指基金合同生效至终止之间的不定期期限</w:t>
      </w:r>
    </w:p>
    <w:p w14:paraId="554DF7F1"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工作日：</w:t>
      </w:r>
      <w:r w:rsidRPr="006F4D70">
        <w:rPr>
          <w:rFonts w:asciiTheme="minorEastAsia" w:eastAsiaTheme="minorEastAsia" w:hAnsiTheme="minorEastAsia" w:hint="eastAsia"/>
          <w:szCs w:val="24"/>
        </w:rPr>
        <w:t>指上海证券交易所、深圳证券交易所的正常交易日</w:t>
      </w:r>
    </w:p>
    <w:p w14:paraId="2B2DB131"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b/>
          <w:szCs w:val="24"/>
        </w:rPr>
        <w:t>T</w:t>
      </w:r>
      <w:r w:rsidRPr="006F4D70">
        <w:rPr>
          <w:rFonts w:asciiTheme="minorEastAsia" w:eastAsiaTheme="minorEastAsia" w:hAnsiTheme="minorEastAsia" w:hint="eastAsia"/>
          <w:b/>
          <w:szCs w:val="24"/>
        </w:rPr>
        <w:t>日：</w:t>
      </w:r>
      <w:r w:rsidRPr="006F4D70">
        <w:rPr>
          <w:rFonts w:asciiTheme="minorEastAsia" w:eastAsiaTheme="minorEastAsia" w:hAnsiTheme="minorEastAsia" w:hint="eastAsia"/>
          <w:szCs w:val="24"/>
        </w:rPr>
        <w:t>指</w:t>
      </w:r>
      <w:r w:rsidRPr="006F4D70">
        <w:rPr>
          <w:rFonts w:asciiTheme="minorEastAsia" w:eastAsiaTheme="minorEastAsia" w:hAnsiTheme="minorEastAsia"/>
          <w:bCs/>
          <w:szCs w:val="24"/>
        </w:rPr>
        <w:t>销售机构在规定时间受理投资人</w:t>
      </w:r>
      <w:r w:rsidRPr="006F4D70">
        <w:rPr>
          <w:rFonts w:asciiTheme="minorEastAsia" w:eastAsiaTheme="minorEastAsia" w:hAnsiTheme="minorEastAsia" w:hint="eastAsia"/>
          <w:szCs w:val="24"/>
        </w:rPr>
        <w:t>申购、赎回或其他业务申请的开放日</w:t>
      </w:r>
    </w:p>
    <w:p w14:paraId="12F37A12"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b/>
          <w:szCs w:val="24"/>
        </w:rPr>
        <w:t>T+n</w:t>
      </w:r>
      <w:r w:rsidRPr="006F4D70">
        <w:rPr>
          <w:rFonts w:asciiTheme="minorEastAsia" w:eastAsiaTheme="minorEastAsia" w:hAnsiTheme="minorEastAsia" w:hint="eastAsia"/>
          <w:b/>
          <w:szCs w:val="24"/>
        </w:rPr>
        <w:t>日：</w:t>
      </w:r>
      <w:r w:rsidRPr="006F4D70">
        <w:rPr>
          <w:rFonts w:asciiTheme="minorEastAsia" w:eastAsiaTheme="minorEastAsia" w:hAnsiTheme="minorEastAsia" w:hint="eastAsia"/>
          <w:szCs w:val="24"/>
        </w:rPr>
        <w:t>指自</w:t>
      </w:r>
      <w:r w:rsidRPr="006F4D70">
        <w:rPr>
          <w:rFonts w:asciiTheme="minorEastAsia" w:eastAsiaTheme="minorEastAsia" w:hAnsiTheme="minorEastAsia"/>
          <w:szCs w:val="24"/>
        </w:rPr>
        <w:t>T</w:t>
      </w:r>
      <w:r w:rsidRPr="006F4D70">
        <w:rPr>
          <w:rFonts w:asciiTheme="minorEastAsia" w:eastAsiaTheme="minorEastAsia" w:hAnsiTheme="minorEastAsia" w:hint="eastAsia"/>
          <w:szCs w:val="24"/>
        </w:rPr>
        <w:t>日起第</w:t>
      </w:r>
      <w:r w:rsidRPr="006F4D70">
        <w:rPr>
          <w:rFonts w:asciiTheme="minorEastAsia" w:eastAsiaTheme="minorEastAsia" w:hAnsiTheme="minorEastAsia"/>
          <w:szCs w:val="24"/>
        </w:rPr>
        <w:t>n</w:t>
      </w:r>
      <w:r w:rsidRPr="006F4D70">
        <w:rPr>
          <w:rFonts w:asciiTheme="minorEastAsia" w:eastAsiaTheme="minorEastAsia" w:hAnsiTheme="minorEastAsia" w:hint="eastAsia"/>
          <w:szCs w:val="24"/>
        </w:rPr>
        <w:t>个工作日（不包含</w:t>
      </w:r>
      <w:r w:rsidRPr="006F4D70">
        <w:rPr>
          <w:rFonts w:asciiTheme="minorEastAsia" w:eastAsiaTheme="minorEastAsia" w:hAnsiTheme="minorEastAsia"/>
          <w:szCs w:val="24"/>
        </w:rPr>
        <w:t>T</w:t>
      </w:r>
      <w:r w:rsidRPr="006F4D70">
        <w:rPr>
          <w:rFonts w:asciiTheme="minorEastAsia" w:eastAsiaTheme="minorEastAsia" w:hAnsiTheme="minorEastAsia" w:hint="eastAsia"/>
          <w:szCs w:val="24"/>
        </w:rPr>
        <w:t>日）</w:t>
      </w:r>
    </w:p>
    <w:p w14:paraId="219ED324"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开放日：</w:t>
      </w:r>
      <w:r w:rsidRPr="006F4D70">
        <w:rPr>
          <w:rFonts w:asciiTheme="minorEastAsia" w:eastAsiaTheme="minorEastAsia" w:hAnsiTheme="minorEastAsia" w:hint="eastAsia"/>
          <w:szCs w:val="24"/>
        </w:rPr>
        <w:t>指为投资人办理基金份额申购、赎回或其他业务的工作日，若该工作日为非港股通交易日，</w:t>
      </w:r>
      <w:r w:rsidRPr="006F4D70">
        <w:rPr>
          <w:rFonts w:asciiTheme="minorEastAsia" w:eastAsiaTheme="minorEastAsia" w:hAnsiTheme="minorEastAsia" w:cs="宋体" w:hint="eastAsia"/>
          <w:kern w:val="0"/>
          <w:szCs w:val="24"/>
        </w:rPr>
        <w:t>则基金管理人有权决定本基金是否开放</w:t>
      </w:r>
    </w:p>
    <w:p w14:paraId="6516D44F"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开放时间</w:t>
      </w:r>
      <w:r w:rsidRPr="006F4D70">
        <w:rPr>
          <w:rFonts w:asciiTheme="minorEastAsia" w:eastAsiaTheme="minorEastAsia" w:hAnsiTheme="minorEastAsia" w:hint="eastAsia"/>
          <w:szCs w:val="24"/>
        </w:rPr>
        <w:t>：指开放日基金接受申购、赎回或其他交易的时间段</w:t>
      </w:r>
    </w:p>
    <w:p w14:paraId="37DBB86F" w14:textId="079C32D2"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《业务规则》：</w:t>
      </w:r>
      <w:r w:rsidRPr="006F4D70">
        <w:rPr>
          <w:rFonts w:asciiTheme="minorEastAsia" w:eastAsiaTheme="minorEastAsia" w:hAnsiTheme="minorEastAsia" w:hint="eastAsia"/>
          <w:szCs w:val="24"/>
        </w:rPr>
        <w:t>指</w:t>
      </w:r>
      <w:r w:rsidRPr="006F4D70">
        <w:rPr>
          <w:rFonts w:asciiTheme="minorEastAsia" w:eastAsiaTheme="minorEastAsia" w:hAnsiTheme="minorEastAsia" w:hint="eastAsia"/>
          <w:bCs/>
          <w:szCs w:val="24"/>
        </w:rPr>
        <w:t>《</w:t>
      </w:r>
      <w:r w:rsidR="00BC06B9" w:rsidRPr="006F4D70">
        <w:rPr>
          <w:rFonts w:asciiTheme="minorEastAsia" w:eastAsiaTheme="minorEastAsia" w:hAnsiTheme="minorEastAsia" w:hint="eastAsia"/>
          <w:bCs/>
          <w:szCs w:val="24"/>
        </w:rPr>
        <w:t>天弘基金管理有限</w:t>
      </w:r>
      <w:r w:rsidR="00DF74D4" w:rsidRPr="006F4D70">
        <w:rPr>
          <w:rFonts w:asciiTheme="minorEastAsia" w:eastAsiaTheme="minorEastAsia" w:hAnsiTheme="minorEastAsia" w:hint="eastAsia"/>
          <w:bCs/>
          <w:szCs w:val="24"/>
        </w:rPr>
        <w:t>公司</w:t>
      </w:r>
      <w:r w:rsidRPr="006F4D70">
        <w:rPr>
          <w:rFonts w:asciiTheme="minorEastAsia" w:eastAsiaTheme="minorEastAsia" w:hAnsiTheme="minorEastAsia" w:hint="eastAsia"/>
          <w:bCs/>
          <w:szCs w:val="24"/>
        </w:rPr>
        <w:t>开放式基金业务规则》</w:t>
      </w:r>
      <w:r w:rsidR="00434212" w:rsidRPr="00434212">
        <w:rPr>
          <w:rFonts w:asciiTheme="minorEastAsia" w:eastAsiaTheme="minorEastAsia" w:hAnsiTheme="minorEastAsia" w:hint="eastAsia"/>
          <w:bCs/>
          <w:szCs w:val="24"/>
        </w:rPr>
        <w:t>及其不时做出的修订，是规范基金管理人所管理的开放式证券投资基金登记方面的业务规则，由基金管理人和投资人共同遵守</w:t>
      </w:r>
    </w:p>
    <w:p w14:paraId="033F5D15"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认购：</w:t>
      </w:r>
      <w:r w:rsidRPr="006F4D70">
        <w:rPr>
          <w:rFonts w:asciiTheme="minorEastAsia" w:eastAsiaTheme="minorEastAsia" w:hAnsiTheme="minorEastAsia" w:hint="eastAsia"/>
          <w:szCs w:val="24"/>
        </w:rPr>
        <w:t>指在基金募集期内，投资人根据基金合同和招募说明书的规定申请购买基金份额的行为</w:t>
      </w:r>
    </w:p>
    <w:p w14:paraId="30E2B18B"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lastRenderedPageBreak/>
        <w:t>申购：</w:t>
      </w:r>
      <w:r w:rsidRPr="006F4D70">
        <w:rPr>
          <w:rFonts w:asciiTheme="minorEastAsia" w:eastAsiaTheme="minorEastAsia" w:hAnsiTheme="minorEastAsia" w:hint="eastAsia"/>
          <w:szCs w:val="24"/>
        </w:rPr>
        <w:t>指基金合同生效后，投资人根据基金合同和招募说明书的规定申请购买基金份额的行为</w:t>
      </w:r>
    </w:p>
    <w:p w14:paraId="03C1DCD8"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赎回：</w:t>
      </w:r>
      <w:r w:rsidRPr="006F4D70">
        <w:rPr>
          <w:rFonts w:asciiTheme="minorEastAsia" w:eastAsiaTheme="minorEastAsia" w:hAnsiTheme="minorEastAsia" w:hint="eastAsia"/>
          <w:szCs w:val="24"/>
        </w:rPr>
        <w:t>指基金合同生效后，基金份额持有人按基金合同和招募说明书规定的条件要求将基金份额兑换为现金的行为</w:t>
      </w:r>
    </w:p>
    <w:p w14:paraId="3F420F8E" w14:textId="0E5654A5"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基金转换</w:t>
      </w:r>
      <w:r w:rsidRPr="006F4D70">
        <w:rPr>
          <w:rFonts w:asciiTheme="minorEastAsia" w:eastAsiaTheme="minorEastAsia" w:hAnsiTheme="minorEastAsia" w:hint="eastAsia"/>
          <w:szCs w:val="24"/>
        </w:rPr>
        <w:t>：指</w:t>
      </w:r>
      <w:r w:rsidR="00E740B6" w:rsidRPr="00D472E0">
        <w:rPr>
          <w:rFonts w:hint="eastAsia"/>
        </w:rPr>
        <w:t>基金合同生效后，</w:t>
      </w:r>
      <w:r w:rsidRPr="006F4D70">
        <w:rPr>
          <w:rFonts w:asciiTheme="minorEastAsia" w:eastAsiaTheme="minorEastAsia" w:hAnsiTheme="minorEastAsia" w:hint="eastAsia"/>
          <w:szCs w:val="24"/>
        </w:rPr>
        <w:t>基金份额持有人按照本基金合同和基金管理人届时有效公告规定的条件，</w:t>
      </w:r>
      <w:r w:rsidR="00E740B6" w:rsidRPr="003B0DC3">
        <w:rPr>
          <w:rFonts w:hint="eastAsia"/>
        </w:rPr>
        <w:t>申请将其持有基金管理人管理的、某一类的基金份额转换为基金管理人管理的其他基金份额的行为</w:t>
      </w:r>
    </w:p>
    <w:p w14:paraId="645B8031"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b/>
          <w:szCs w:val="24"/>
        </w:rPr>
        <w:t>转托管：</w:t>
      </w:r>
      <w:r w:rsidRPr="006F4D70">
        <w:rPr>
          <w:rFonts w:asciiTheme="minorEastAsia" w:eastAsiaTheme="minorEastAsia" w:hAnsiTheme="minorEastAsia"/>
          <w:szCs w:val="24"/>
        </w:rPr>
        <w:t>指基金份额持有人在本基金的不同销售机构之间实施的变更所持基金份额销售机构的操作</w:t>
      </w:r>
    </w:p>
    <w:p w14:paraId="2551CE30"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bCs/>
          <w:szCs w:val="24"/>
        </w:rPr>
        <w:t>定期定额投资计划：</w:t>
      </w:r>
      <w:r w:rsidRPr="006F4D70">
        <w:rPr>
          <w:rFonts w:asciiTheme="minorEastAsia" w:eastAsiaTheme="minorEastAsia" w:hAnsiTheme="minorEastAsia" w:hint="eastAsia"/>
          <w:bCs/>
          <w:szCs w:val="24"/>
        </w:rPr>
        <w:t>指投资人通过有关销售机构提出申请，约定每期申购日、扣款金额及扣款方式，由销售机构于每期约定扣款日在投资人指定银行账户内自动完成扣款及受理基金申购申请的一种投资方式</w:t>
      </w:r>
    </w:p>
    <w:p w14:paraId="4E5FE0FA"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巨额赎回：</w:t>
      </w:r>
      <w:r w:rsidRPr="006F4D70">
        <w:rPr>
          <w:rFonts w:asciiTheme="minorEastAsia" w:eastAsiaTheme="minorEastAsia" w:hAnsiTheme="minorEastAsia" w:hint="eastAsia"/>
          <w:szCs w:val="24"/>
        </w:rPr>
        <w:t>指本基金单个开放日，基金净赎回申请（赎回申请份额总数加上基金转换中转出申请份额总数后扣除申购申请份额总数及基金转换中转入申请份额总数后的余额）超过上一工作日基金总份额的</w:t>
      </w:r>
      <w:r w:rsidRPr="006F4D70">
        <w:rPr>
          <w:rFonts w:asciiTheme="minorEastAsia" w:eastAsiaTheme="minorEastAsia" w:hAnsiTheme="minorEastAsia"/>
          <w:szCs w:val="24"/>
        </w:rPr>
        <w:t>10%</w:t>
      </w:r>
      <w:r w:rsidRPr="006F4D70">
        <w:rPr>
          <w:rFonts w:asciiTheme="minorEastAsia" w:eastAsiaTheme="minorEastAsia" w:hAnsiTheme="minorEastAsia" w:hint="eastAsia"/>
          <w:szCs w:val="24"/>
        </w:rPr>
        <w:t>时的情形</w:t>
      </w:r>
    </w:p>
    <w:p w14:paraId="4F46B2FB"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元：</w:t>
      </w:r>
      <w:r w:rsidRPr="006F4D70">
        <w:rPr>
          <w:rFonts w:asciiTheme="minorEastAsia" w:eastAsiaTheme="minorEastAsia" w:hAnsiTheme="minorEastAsia" w:hint="eastAsia"/>
          <w:szCs w:val="24"/>
        </w:rPr>
        <w:t>指人民币元</w:t>
      </w:r>
    </w:p>
    <w:p w14:paraId="664D310E"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基金收益</w:t>
      </w:r>
      <w:r w:rsidRPr="006F4D70">
        <w:rPr>
          <w:rFonts w:asciiTheme="minorEastAsia" w:eastAsiaTheme="minorEastAsia" w:hAnsiTheme="minorEastAsia" w:hint="eastAsia"/>
          <w:szCs w:val="24"/>
        </w:rPr>
        <w:t>：指基金投资所得红利、股息、债券利息、买卖证券价差、银行存款利息、已实现的其他合法收入及因运用基金财产带来的成本和费用的节约</w:t>
      </w:r>
    </w:p>
    <w:p w14:paraId="3A5FD92D" w14:textId="20F9F3D1"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基金资产总值：</w:t>
      </w:r>
      <w:r w:rsidRPr="006F4D70">
        <w:rPr>
          <w:rFonts w:asciiTheme="minorEastAsia" w:eastAsiaTheme="minorEastAsia" w:hAnsiTheme="minorEastAsia" w:hint="eastAsia"/>
          <w:szCs w:val="24"/>
        </w:rPr>
        <w:t>指基金拥有的各类有价证券及</w:t>
      </w:r>
      <w:r w:rsidRPr="006F4D70">
        <w:rPr>
          <w:rFonts w:asciiTheme="minorEastAsia" w:eastAsiaTheme="minorEastAsia" w:hAnsiTheme="minorEastAsia" w:cs="宋体" w:hint="eastAsia"/>
          <w:kern w:val="0"/>
          <w:szCs w:val="24"/>
        </w:rPr>
        <w:t>票据价值</w:t>
      </w:r>
      <w:r w:rsidRPr="006F4D70">
        <w:rPr>
          <w:rFonts w:asciiTheme="minorEastAsia" w:eastAsiaTheme="minorEastAsia" w:hAnsiTheme="minorEastAsia" w:hint="eastAsia"/>
          <w:szCs w:val="24"/>
        </w:rPr>
        <w:t>、银行存款本息、基金应收款</w:t>
      </w:r>
      <w:r w:rsidR="00E45E35">
        <w:rPr>
          <w:rFonts w:asciiTheme="minorEastAsia" w:eastAsiaTheme="minorEastAsia" w:hAnsiTheme="minorEastAsia" w:hint="eastAsia"/>
          <w:szCs w:val="24"/>
        </w:rPr>
        <w:t>项</w:t>
      </w:r>
      <w:r w:rsidRPr="006F4D70">
        <w:rPr>
          <w:rFonts w:asciiTheme="minorEastAsia" w:eastAsiaTheme="minorEastAsia" w:hAnsiTheme="minorEastAsia" w:hint="eastAsia"/>
          <w:szCs w:val="24"/>
        </w:rPr>
        <w:t>及其他资产的价值总和</w:t>
      </w:r>
    </w:p>
    <w:p w14:paraId="0A1B6D31"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基金资产净值：</w:t>
      </w:r>
      <w:r w:rsidRPr="006F4D70">
        <w:rPr>
          <w:rFonts w:asciiTheme="minorEastAsia" w:eastAsiaTheme="minorEastAsia" w:hAnsiTheme="minorEastAsia" w:hint="eastAsia"/>
          <w:szCs w:val="24"/>
        </w:rPr>
        <w:t>指基金资产总值减去基金负债后的价值</w:t>
      </w:r>
    </w:p>
    <w:p w14:paraId="59389C1C"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基金份额净值：</w:t>
      </w:r>
      <w:r w:rsidRPr="006F4D70">
        <w:rPr>
          <w:rFonts w:asciiTheme="minorEastAsia" w:eastAsiaTheme="minorEastAsia" w:hAnsiTheme="minorEastAsia" w:hint="eastAsia"/>
          <w:szCs w:val="24"/>
        </w:rPr>
        <w:t>指计算日基金资产净值除以计算日基金份额总数</w:t>
      </w:r>
    </w:p>
    <w:p w14:paraId="6BC9B78F"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bCs/>
          <w:szCs w:val="24"/>
        </w:rPr>
        <w:t>基金份额累计净值：</w:t>
      </w:r>
      <w:r w:rsidRPr="006F4D70">
        <w:rPr>
          <w:rFonts w:asciiTheme="minorEastAsia" w:eastAsiaTheme="minorEastAsia" w:hAnsiTheme="minorEastAsia" w:hint="eastAsia"/>
          <w:bCs/>
          <w:szCs w:val="24"/>
        </w:rPr>
        <w:t>指计算日基金份额净值与每份基金份额累计分红之和</w:t>
      </w:r>
    </w:p>
    <w:p w14:paraId="3493DD8A"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基金资产估值：</w:t>
      </w:r>
      <w:r w:rsidRPr="006F4D70">
        <w:rPr>
          <w:rFonts w:asciiTheme="minorEastAsia" w:eastAsiaTheme="minorEastAsia" w:hAnsiTheme="minorEastAsia" w:hint="eastAsia"/>
          <w:szCs w:val="24"/>
        </w:rPr>
        <w:t>指计算评估基金资产和负债的价值，以确定基金资产净值和基金份额净值的过程</w:t>
      </w:r>
    </w:p>
    <w:p w14:paraId="27A6C2E3" w14:textId="77777777" w:rsidR="00595296" w:rsidRPr="006F4D70" w:rsidRDefault="002B7F4D">
      <w:pPr>
        <w:numPr>
          <w:ilvl w:val="0"/>
          <w:numId w:val="1"/>
        </w:numPr>
        <w:ind w:left="0" w:firstLine="482"/>
        <w:rPr>
          <w:rFonts w:asciiTheme="minorEastAsia" w:eastAsiaTheme="minorEastAsia" w:hAnsiTheme="minorEastAsia"/>
          <w:szCs w:val="24"/>
        </w:rPr>
      </w:pPr>
      <w:r w:rsidRPr="006F4D70">
        <w:rPr>
          <w:rFonts w:asciiTheme="minorEastAsia" w:eastAsiaTheme="minorEastAsia" w:hAnsiTheme="minorEastAsia" w:hint="eastAsia"/>
          <w:b/>
          <w:szCs w:val="24"/>
        </w:rPr>
        <w:t>规定媒介：</w:t>
      </w:r>
      <w:r w:rsidRPr="006F4D70">
        <w:rPr>
          <w:rFonts w:asciiTheme="minorEastAsia" w:eastAsiaTheme="minorEastAsia" w:hAnsiTheme="minorEastAsia"/>
          <w:szCs w:val="24"/>
        </w:rPr>
        <w:t>指</w:t>
      </w:r>
      <w:r w:rsidRPr="006F4D70">
        <w:rPr>
          <w:rFonts w:asciiTheme="minorEastAsia" w:eastAsiaTheme="minorEastAsia" w:hAnsiTheme="minorEastAsia" w:hint="eastAsia"/>
          <w:szCs w:val="24"/>
        </w:rPr>
        <w:t>符合</w:t>
      </w:r>
      <w:r w:rsidRPr="006F4D70">
        <w:rPr>
          <w:rFonts w:asciiTheme="minorEastAsia" w:eastAsiaTheme="minorEastAsia" w:hAnsiTheme="minorEastAsia"/>
          <w:szCs w:val="24"/>
        </w:rPr>
        <w:t>中国证监会</w:t>
      </w:r>
      <w:r w:rsidRPr="006F4D70">
        <w:rPr>
          <w:rFonts w:asciiTheme="minorEastAsia" w:eastAsiaTheme="minorEastAsia" w:hAnsiTheme="minorEastAsia" w:hint="eastAsia"/>
          <w:szCs w:val="24"/>
        </w:rPr>
        <w:t>规定条件</w:t>
      </w:r>
      <w:r w:rsidRPr="006F4D70">
        <w:rPr>
          <w:rFonts w:asciiTheme="minorEastAsia" w:eastAsiaTheme="minorEastAsia" w:hAnsiTheme="minorEastAsia"/>
          <w:szCs w:val="24"/>
        </w:rPr>
        <w:t>的用以进行信息披露的</w:t>
      </w:r>
      <w:r w:rsidRPr="006F4D70">
        <w:rPr>
          <w:rFonts w:asciiTheme="minorEastAsia" w:eastAsiaTheme="minorEastAsia" w:hAnsiTheme="minorEastAsia" w:hint="eastAsia"/>
          <w:szCs w:val="24"/>
        </w:rPr>
        <w:t>全国性</w:t>
      </w:r>
      <w:r w:rsidRPr="006F4D70">
        <w:rPr>
          <w:rFonts w:asciiTheme="minorEastAsia" w:eastAsiaTheme="minorEastAsia" w:hAnsiTheme="minorEastAsia"/>
          <w:szCs w:val="24"/>
        </w:rPr>
        <w:t>报刊</w:t>
      </w:r>
      <w:r w:rsidRPr="006F4D70">
        <w:rPr>
          <w:rFonts w:asciiTheme="minorEastAsia" w:eastAsiaTheme="minorEastAsia" w:hAnsiTheme="minorEastAsia" w:hint="eastAsia"/>
          <w:szCs w:val="24"/>
        </w:rPr>
        <w:t>及《信息披露办法》规定的</w:t>
      </w:r>
      <w:r w:rsidRPr="006F4D70">
        <w:rPr>
          <w:rFonts w:asciiTheme="minorEastAsia" w:eastAsiaTheme="minorEastAsia" w:hAnsiTheme="minorEastAsia"/>
          <w:szCs w:val="24"/>
        </w:rPr>
        <w:t>互联网网站</w:t>
      </w:r>
      <w:r w:rsidRPr="006F4D70">
        <w:rPr>
          <w:rFonts w:asciiTheme="minorEastAsia" w:eastAsiaTheme="minorEastAsia" w:hAnsiTheme="minorEastAsia" w:hint="eastAsia"/>
          <w:szCs w:val="24"/>
        </w:rPr>
        <w:t>（包括基金管理人网站、基金托管人网站、中国证监会基金电子披露网站）等</w:t>
      </w:r>
      <w:r w:rsidRPr="006F4D70">
        <w:rPr>
          <w:rFonts w:asciiTheme="minorEastAsia" w:eastAsiaTheme="minorEastAsia" w:hAnsiTheme="minorEastAsia"/>
          <w:szCs w:val="24"/>
        </w:rPr>
        <w:t>媒介</w:t>
      </w:r>
    </w:p>
    <w:p w14:paraId="438F4A71" w14:textId="77777777" w:rsidR="00595296" w:rsidRPr="006F4D70" w:rsidRDefault="002B7F4D">
      <w:pPr>
        <w:numPr>
          <w:ilvl w:val="0"/>
          <w:numId w:val="1"/>
        </w:numPr>
        <w:ind w:left="0" w:firstLine="482"/>
        <w:rPr>
          <w:rFonts w:asciiTheme="minorEastAsia" w:eastAsiaTheme="minorEastAsia" w:hAnsiTheme="minorEastAsia"/>
          <w:szCs w:val="24"/>
        </w:rPr>
      </w:pPr>
      <w:bookmarkStart w:id="51" w:name="_Hlt88031774"/>
      <w:bookmarkStart w:id="52" w:name="_Toc79392573"/>
      <w:bookmarkStart w:id="53" w:name="_Toc233456272"/>
      <w:bookmarkStart w:id="54" w:name="_Toc258829400"/>
      <w:bookmarkEnd w:id="51"/>
      <w:r w:rsidRPr="006F4D70">
        <w:rPr>
          <w:rFonts w:asciiTheme="minorEastAsia" w:eastAsiaTheme="minorEastAsia" w:hAnsiTheme="minorEastAsia" w:hint="eastAsia"/>
          <w:b/>
          <w:bCs/>
          <w:szCs w:val="24"/>
        </w:rPr>
        <w:lastRenderedPageBreak/>
        <w:t>销售服务费：</w:t>
      </w:r>
      <w:r w:rsidRPr="006F4D70">
        <w:rPr>
          <w:rFonts w:asciiTheme="minorEastAsia" w:eastAsiaTheme="minorEastAsia" w:hAnsiTheme="minorEastAsia" w:hint="eastAsia"/>
          <w:bCs/>
          <w:szCs w:val="24"/>
        </w:rPr>
        <w:t>指从基金财产中计提的，用于本基金市场推广、销售以及基金份额持有人服务的费用</w:t>
      </w:r>
    </w:p>
    <w:p w14:paraId="6CE1F257" w14:textId="77777777" w:rsidR="00595296" w:rsidRPr="006F4D70" w:rsidRDefault="002B7F4D">
      <w:pPr>
        <w:pStyle w:val="12"/>
        <w:numPr>
          <w:ilvl w:val="0"/>
          <w:numId w:val="1"/>
        </w:numPr>
        <w:ind w:left="0" w:firstLine="482"/>
        <w:rPr>
          <w:rFonts w:asciiTheme="minorEastAsia" w:eastAsiaTheme="minorEastAsia" w:hAnsiTheme="minorEastAsia"/>
        </w:rPr>
      </w:pPr>
      <w:r w:rsidRPr="006F4D70">
        <w:rPr>
          <w:rFonts w:asciiTheme="minorEastAsia" w:eastAsiaTheme="minorEastAsia" w:hAnsiTheme="minorEastAsia" w:hint="eastAsia"/>
          <w:b/>
        </w:rPr>
        <w:t>港股通标的股票：</w:t>
      </w:r>
      <w:r w:rsidRPr="006F4D70">
        <w:rPr>
          <w:rFonts w:asciiTheme="minorEastAsia" w:eastAsiaTheme="minorEastAsia" w:hAnsiTheme="minorEastAsia" w:hint="eastAsia"/>
        </w:rPr>
        <w:t>指内地投资者委托内地证券公司，经由上海证券交易所、深圳证券交易所或者经中国证监会认可的机构设立的证券交易服务公司，向香港联合交易所有限公司（以下简称“香港联合交易所”）进行申报、买卖规定范围内的香港联合交易所上市的股票</w:t>
      </w:r>
    </w:p>
    <w:p w14:paraId="331AEF9D" w14:textId="77777777" w:rsidR="00595296" w:rsidRPr="006F4D70" w:rsidRDefault="002B7F4D">
      <w:pPr>
        <w:pStyle w:val="12"/>
        <w:numPr>
          <w:ilvl w:val="0"/>
          <w:numId w:val="1"/>
        </w:numPr>
        <w:ind w:left="0" w:firstLine="482"/>
        <w:rPr>
          <w:rFonts w:asciiTheme="minorEastAsia" w:eastAsiaTheme="minorEastAsia" w:hAnsiTheme="minorEastAsia"/>
        </w:rPr>
      </w:pPr>
      <w:r w:rsidRPr="006F4D70">
        <w:rPr>
          <w:rFonts w:asciiTheme="minorEastAsia" w:eastAsiaTheme="minorEastAsia" w:hAnsiTheme="minorEastAsia"/>
          <w:b/>
        </w:rPr>
        <w:t>信用衍生品</w:t>
      </w:r>
      <w:r w:rsidRPr="006F4D70">
        <w:rPr>
          <w:rFonts w:asciiTheme="minorEastAsia" w:eastAsiaTheme="minorEastAsia" w:hAnsiTheme="minorEastAsia"/>
        </w:rPr>
        <w:t>：指符合证券交易所或银行间市场相关业务规则，专门用于管理信用风险的信用衍生工具</w:t>
      </w:r>
    </w:p>
    <w:p w14:paraId="2B672531" w14:textId="77777777" w:rsidR="00595296" w:rsidRPr="006F4D70" w:rsidRDefault="002B7F4D">
      <w:pPr>
        <w:pStyle w:val="12"/>
        <w:numPr>
          <w:ilvl w:val="0"/>
          <w:numId w:val="1"/>
        </w:numPr>
        <w:ind w:firstLineChars="0"/>
        <w:rPr>
          <w:rFonts w:asciiTheme="minorEastAsia" w:eastAsiaTheme="minorEastAsia" w:hAnsiTheme="minorEastAsia"/>
        </w:rPr>
      </w:pPr>
      <w:r w:rsidRPr="006F4D70">
        <w:rPr>
          <w:rFonts w:asciiTheme="minorEastAsia" w:eastAsiaTheme="minorEastAsia" w:hAnsiTheme="minorEastAsia"/>
          <w:b/>
        </w:rPr>
        <w:t>信用保护买方</w:t>
      </w:r>
      <w:r w:rsidRPr="006F4D70">
        <w:rPr>
          <w:rFonts w:asciiTheme="minorEastAsia" w:eastAsiaTheme="minorEastAsia" w:hAnsiTheme="minorEastAsia"/>
        </w:rPr>
        <w:t>：亦称信用保护购买方，指接受信用风险保护的一方</w:t>
      </w:r>
    </w:p>
    <w:p w14:paraId="2F0A8365" w14:textId="77777777" w:rsidR="00595296" w:rsidRPr="006F4D70" w:rsidRDefault="002B7F4D">
      <w:pPr>
        <w:pStyle w:val="12"/>
        <w:numPr>
          <w:ilvl w:val="0"/>
          <w:numId w:val="1"/>
        </w:numPr>
        <w:ind w:left="0" w:firstLine="482"/>
        <w:rPr>
          <w:rFonts w:asciiTheme="minorEastAsia" w:eastAsiaTheme="minorEastAsia" w:hAnsiTheme="minorEastAsia"/>
        </w:rPr>
      </w:pPr>
      <w:r w:rsidRPr="006F4D70">
        <w:rPr>
          <w:rFonts w:asciiTheme="minorEastAsia" w:eastAsiaTheme="minorEastAsia" w:hAnsiTheme="minorEastAsia"/>
          <w:b/>
        </w:rPr>
        <w:t>信用保护卖方</w:t>
      </w:r>
      <w:r w:rsidRPr="006F4D70">
        <w:rPr>
          <w:rFonts w:asciiTheme="minorEastAsia" w:eastAsiaTheme="minorEastAsia" w:hAnsiTheme="minorEastAsia"/>
        </w:rPr>
        <w:t>：亦称信用保护提供方，指提供信用风险保护的一方</w:t>
      </w:r>
    </w:p>
    <w:p w14:paraId="415F952E" w14:textId="5444B0F6" w:rsidR="00595296" w:rsidRPr="006F4D70" w:rsidRDefault="002B7F4D">
      <w:pPr>
        <w:pStyle w:val="12"/>
        <w:numPr>
          <w:ilvl w:val="0"/>
          <w:numId w:val="1"/>
        </w:numPr>
        <w:ind w:left="0" w:firstLine="482"/>
        <w:rPr>
          <w:rFonts w:asciiTheme="minorEastAsia" w:eastAsiaTheme="minorEastAsia" w:hAnsiTheme="minorEastAsia"/>
        </w:rPr>
      </w:pPr>
      <w:r w:rsidRPr="006F4D70">
        <w:rPr>
          <w:rFonts w:asciiTheme="minorEastAsia" w:eastAsiaTheme="minorEastAsia" w:hAnsiTheme="minorEastAsia"/>
          <w:b/>
        </w:rPr>
        <w:t>名义本金</w:t>
      </w:r>
      <w:r w:rsidRPr="006F4D70">
        <w:rPr>
          <w:rFonts w:asciiTheme="minorEastAsia" w:eastAsiaTheme="minorEastAsia" w:hAnsiTheme="minorEastAsia"/>
        </w:rPr>
        <w:t>：亦称交易名义本金，指一笔信用衍生品交易提供信用</w:t>
      </w:r>
      <w:r w:rsidR="001C771D" w:rsidRPr="006F4D70">
        <w:rPr>
          <w:rFonts w:asciiTheme="minorEastAsia" w:eastAsiaTheme="minorEastAsia" w:hAnsiTheme="minorEastAsia" w:hint="eastAsia"/>
        </w:rPr>
        <w:t>风险</w:t>
      </w:r>
      <w:r w:rsidRPr="006F4D70">
        <w:rPr>
          <w:rFonts w:asciiTheme="minorEastAsia" w:eastAsiaTheme="minorEastAsia" w:hAnsiTheme="minorEastAsia"/>
        </w:rPr>
        <w:t>保护的金额，各项支付和结算以此金额为计算基准</w:t>
      </w:r>
    </w:p>
    <w:p w14:paraId="0AEAD73D" w14:textId="77777777" w:rsidR="00595296" w:rsidRPr="006F4D70" w:rsidRDefault="002B7F4D">
      <w:pPr>
        <w:pStyle w:val="12"/>
        <w:numPr>
          <w:ilvl w:val="0"/>
          <w:numId w:val="1"/>
        </w:numPr>
        <w:ind w:left="0" w:firstLine="482"/>
        <w:rPr>
          <w:rFonts w:asciiTheme="minorEastAsia" w:eastAsiaTheme="minorEastAsia" w:hAnsiTheme="minorEastAsia"/>
          <w:b/>
        </w:rPr>
      </w:pPr>
      <w:r w:rsidRPr="006F4D70">
        <w:rPr>
          <w:rFonts w:asciiTheme="minorEastAsia" w:eastAsiaTheme="minorEastAsia" w:hAnsiTheme="minorEastAsia" w:hint="eastAsia"/>
          <w:b/>
        </w:rPr>
        <w:t>流动性受限资产：</w:t>
      </w:r>
      <w:r w:rsidRPr="006F4D70">
        <w:rPr>
          <w:rFonts w:asciiTheme="minorEastAsia" w:eastAsiaTheme="minorEastAsia" w:hAnsiTheme="minorEastAsia" w:hint="eastAsia"/>
          <w:bCs/>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E4FE43F" w14:textId="77777777" w:rsidR="00595296" w:rsidRPr="006F4D70" w:rsidRDefault="002B7F4D">
      <w:pPr>
        <w:pStyle w:val="12"/>
        <w:numPr>
          <w:ilvl w:val="0"/>
          <w:numId w:val="1"/>
        </w:numPr>
        <w:ind w:left="0" w:firstLine="482"/>
        <w:rPr>
          <w:rFonts w:asciiTheme="minorEastAsia" w:eastAsiaTheme="minorEastAsia" w:hAnsiTheme="minorEastAsia"/>
          <w:b/>
        </w:rPr>
      </w:pPr>
      <w:r w:rsidRPr="006F4D70">
        <w:rPr>
          <w:rFonts w:asciiTheme="minorEastAsia" w:eastAsiaTheme="minorEastAsia" w:hAnsiTheme="minorEastAsia" w:hint="eastAsia"/>
          <w:b/>
          <w:color w:val="000000"/>
        </w:rPr>
        <w:t>摆动定价机制：</w:t>
      </w:r>
      <w:r w:rsidRPr="006F4D70">
        <w:rPr>
          <w:rFonts w:asciiTheme="minorEastAsia" w:eastAsiaTheme="minorEastAsia" w:hAnsiTheme="minorEastAsia" w:hint="eastAsia"/>
          <w:color w:val="000000"/>
        </w:rPr>
        <w:t>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9F441B9" w14:textId="77777777" w:rsidR="00595296" w:rsidRPr="006F4D70" w:rsidRDefault="002B7F4D">
      <w:pPr>
        <w:pStyle w:val="12"/>
        <w:numPr>
          <w:ilvl w:val="0"/>
          <w:numId w:val="1"/>
        </w:numPr>
        <w:tabs>
          <w:tab w:val="left" w:pos="567"/>
        </w:tabs>
        <w:autoSpaceDE w:val="0"/>
        <w:autoSpaceDN w:val="0"/>
        <w:adjustRightInd w:val="0"/>
        <w:ind w:left="0" w:firstLine="482"/>
        <w:rPr>
          <w:rFonts w:asciiTheme="minorEastAsia" w:eastAsiaTheme="minorEastAsia" w:hAnsiTheme="minorEastAsia" w:cs="宋体"/>
          <w:kern w:val="0"/>
        </w:rPr>
      </w:pPr>
      <w:r w:rsidRPr="006F4D70">
        <w:rPr>
          <w:rFonts w:asciiTheme="minorEastAsia" w:eastAsiaTheme="minorEastAsia" w:hAnsiTheme="minorEastAsia" w:cs="宋体" w:hint="eastAsia"/>
          <w:b/>
          <w:kern w:val="0"/>
        </w:rPr>
        <w:t>侧袋机制：</w:t>
      </w:r>
      <w:r w:rsidRPr="006F4D70">
        <w:rPr>
          <w:rFonts w:asciiTheme="minorEastAsia" w:eastAsiaTheme="minorEastAsia" w:hAnsiTheme="minorEastAsia" w:cs="宋体" w:hint="eastAsia"/>
          <w:kern w:val="0"/>
        </w:rPr>
        <w:t>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A89FAFE" w14:textId="77777777" w:rsidR="00595296" w:rsidRPr="006F4D70" w:rsidRDefault="002B7F4D">
      <w:pPr>
        <w:pStyle w:val="12"/>
        <w:numPr>
          <w:ilvl w:val="0"/>
          <w:numId w:val="1"/>
        </w:numPr>
        <w:tabs>
          <w:tab w:val="left" w:pos="567"/>
        </w:tabs>
        <w:autoSpaceDE w:val="0"/>
        <w:autoSpaceDN w:val="0"/>
        <w:adjustRightInd w:val="0"/>
        <w:ind w:left="0" w:firstLine="482"/>
        <w:rPr>
          <w:rFonts w:asciiTheme="minorEastAsia" w:eastAsiaTheme="minorEastAsia" w:hAnsiTheme="minorEastAsia" w:cs="宋体"/>
          <w:kern w:val="0"/>
        </w:rPr>
      </w:pPr>
      <w:r w:rsidRPr="006F4D70">
        <w:rPr>
          <w:rFonts w:asciiTheme="minorEastAsia" w:eastAsiaTheme="minorEastAsia" w:hAnsiTheme="minorEastAsia" w:cs="宋体" w:hint="eastAsia"/>
          <w:b/>
          <w:kern w:val="0"/>
        </w:rPr>
        <w:t>特定资产：</w:t>
      </w:r>
      <w:r w:rsidRPr="006F4D70">
        <w:rPr>
          <w:rFonts w:asciiTheme="minorEastAsia" w:eastAsiaTheme="minorEastAsia" w:hAnsiTheme="minorEastAsia" w:cs="宋体" w:hint="eastAsia"/>
          <w:kern w:val="0"/>
        </w:rPr>
        <w:t>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A6EE999" w14:textId="77777777" w:rsidR="00595296" w:rsidRPr="006F4D70" w:rsidRDefault="002B7F4D">
      <w:pPr>
        <w:pStyle w:val="12"/>
        <w:numPr>
          <w:ilvl w:val="0"/>
          <w:numId w:val="1"/>
        </w:numPr>
        <w:tabs>
          <w:tab w:val="left" w:pos="567"/>
        </w:tabs>
        <w:autoSpaceDE w:val="0"/>
        <w:autoSpaceDN w:val="0"/>
        <w:adjustRightInd w:val="0"/>
        <w:ind w:left="0" w:firstLine="482"/>
        <w:rPr>
          <w:rFonts w:asciiTheme="minorEastAsia" w:eastAsiaTheme="minorEastAsia" w:hAnsiTheme="minorEastAsia" w:cs="宋体"/>
          <w:kern w:val="0"/>
        </w:rPr>
      </w:pPr>
      <w:r w:rsidRPr="006F4D70">
        <w:rPr>
          <w:rFonts w:asciiTheme="minorEastAsia" w:eastAsiaTheme="minorEastAsia" w:hAnsiTheme="minorEastAsia"/>
          <w:b/>
          <w:bCs/>
        </w:rPr>
        <w:lastRenderedPageBreak/>
        <w:t>不可抗力：</w:t>
      </w:r>
      <w:r w:rsidRPr="006F4D70">
        <w:rPr>
          <w:rFonts w:asciiTheme="minorEastAsia" w:eastAsiaTheme="minorEastAsia" w:hAnsiTheme="minorEastAsia"/>
          <w:bCs/>
        </w:rPr>
        <w:t>指</w:t>
      </w:r>
      <w:r w:rsidRPr="006F4D70">
        <w:rPr>
          <w:rFonts w:asciiTheme="minorEastAsia" w:eastAsiaTheme="minorEastAsia" w:hAnsiTheme="minorEastAsia" w:hint="eastAsia"/>
          <w:bCs/>
        </w:rPr>
        <w:t>本基金合同当事人不能预见、不能避免并不能克服，且在基金合同由基金托管人、基金管理人签署之日后发生的，使基金合同当事人无法全部履行或无法部分履行基金合同的任何事件，包括但不限于洪水、地震及其他自然灾害、战争、骚乱、火灾、政府征用、没收、法律法规变化、突发停电或其他突发事件、证券交易所非正常暂停或停止交易</w:t>
      </w:r>
    </w:p>
    <w:p w14:paraId="2C0447DC" w14:textId="77777777" w:rsidR="00595296" w:rsidRPr="006F4D70" w:rsidRDefault="002B7F4D">
      <w:pPr>
        <w:tabs>
          <w:tab w:val="left" w:pos="567"/>
        </w:tabs>
        <w:autoSpaceDE w:val="0"/>
        <w:autoSpaceDN w:val="0"/>
        <w:adjustRightInd w:val="0"/>
        <w:ind w:left="540"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br w:type="page"/>
      </w:r>
    </w:p>
    <w:p w14:paraId="3B457C05" w14:textId="77777777" w:rsidR="00595296" w:rsidRPr="006F4D70" w:rsidRDefault="002B7F4D">
      <w:pPr>
        <w:pStyle w:val="1"/>
        <w:ind w:firstLine="602"/>
        <w:rPr>
          <w:rFonts w:asciiTheme="minorEastAsia" w:eastAsiaTheme="minorEastAsia" w:hAnsiTheme="minorEastAsia"/>
        </w:rPr>
      </w:pPr>
      <w:bookmarkStart w:id="55" w:name="_Toc377998618"/>
      <w:bookmarkStart w:id="56" w:name="_Toc198902615"/>
      <w:r w:rsidRPr="006F4D70">
        <w:rPr>
          <w:rFonts w:asciiTheme="minorEastAsia" w:eastAsiaTheme="minorEastAsia" w:hAnsiTheme="minorEastAsia" w:hint="eastAsia"/>
        </w:rPr>
        <w:lastRenderedPageBreak/>
        <w:t>第三部分    基金的基本情况</w:t>
      </w:r>
      <w:bookmarkEnd w:id="55"/>
      <w:bookmarkEnd w:id="56"/>
    </w:p>
    <w:p w14:paraId="73B38F0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一、基金名称</w:t>
      </w:r>
      <w:bookmarkEnd w:id="52"/>
    </w:p>
    <w:p w14:paraId="4A82D6C2" w14:textId="0B9190A4" w:rsidR="00595296" w:rsidRPr="006F4D70" w:rsidRDefault="00BC06B9">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天弘</w:t>
      </w:r>
      <w:r w:rsidR="00570182">
        <w:rPr>
          <w:rFonts w:asciiTheme="minorEastAsia" w:eastAsiaTheme="minorEastAsia" w:hAnsiTheme="minorEastAsia" w:cs="宋体" w:hint="eastAsia"/>
          <w:kern w:val="0"/>
          <w:szCs w:val="24"/>
        </w:rPr>
        <w:t>乾元价值</w:t>
      </w:r>
      <w:r w:rsidRPr="006F4D70">
        <w:rPr>
          <w:rFonts w:asciiTheme="minorEastAsia" w:eastAsiaTheme="minorEastAsia" w:hAnsiTheme="minorEastAsia" w:cs="宋体" w:hint="eastAsia"/>
          <w:kern w:val="0"/>
          <w:szCs w:val="24"/>
        </w:rPr>
        <w:t>混合型</w:t>
      </w:r>
      <w:r w:rsidR="002B7F4D" w:rsidRPr="006F4D70">
        <w:rPr>
          <w:rFonts w:asciiTheme="minorEastAsia" w:eastAsiaTheme="minorEastAsia" w:hAnsiTheme="minorEastAsia" w:cs="宋体" w:hint="eastAsia"/>
          <w:kern w:val="0"/>
          <w:szCs w:val="24"/>
        </w:rPr>
        <w:t>证券投资基金。</w:t>
      </w:r>
    </w:p>
    <w:p w14:paraId="1875BACD"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57" w:name="_Toc79392574"/>
      <w:r w:rsidRPr="006F4D70">
        <w:rPr>
          <w:rFonts w:asciiTheme="minorEastAsia" w:eastAsiaTheme="minorEastAsia" w:hAnsiTheme="minorEastAsia" w:cs="宋体" w:hint="eastAsia"/>
          <w:b/>
          <w:bCs/>
          <w:kern w:val="0"/>
          <w:szCs w:val="24"/>
        </w:rPr>
        <w:t>二、基金的类别</w:t>
      </w:r>
      <w:bookmarkEnd w:id="57"/>
    </w:p>
    <w:p w14:paraId="778C1AA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混合型证券投资基金。</w:t>
      </w:r>
    </w:p>
    <w:p w14:paraId="54E7136B"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58" w:name="_Toc79392575"/>
      <w:r w:rsidRPr="006F4D70">
        <w:rPr>
          <w:rFonts w:asciiTheme="minorEastAsia" w:eastAsiaTheme="minorEastAsia" w:hAnsiTheme="minorEastAsia" w:cs="宋体" w:hint="eastAsia"/>
          <w:b/>
          <w:bCs/>
          <w:kern w:val="0"/>
          <w:szCs w:val="24"/>
        </w:rPr>
        <w:t>三、基金的运作方式</w:t>
      </w:r>
    </w:p>
    <w:p w14:paraId="3FE0C3D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契约型开放式。</w:t>
      </w:r>
    </w:p>
    <w:p w14:paraId="2CC6E6E1" w14:textId="77777777" w:rsidR="00595296" w:rsidRPr="006F4D70" w:rsidRDefault="002B7F4D">
      <w:pPr>
        <w:autoSpaceDE w:val="0"/>
        <w:autoSpaceDN w:val="0"/>
        <w:adjustRightInd w:val="0"/>
        <w:ind w:firstLine="482"/>
        <w:contextualSpacing/>
        <w:rPr>
          <w:rFonts w:asciiTheme="minorEastAsia" w:eastAsiaTheme="minorEastAsia" w:hAnsiTheme="minorEastAsia" w:cs="宋体"/>
          <w:b/>
          <w:bCs/>
          <w:kern w:val="0"/>
          <w:szCs w:val="24"/>
        </w:rPr>
      </w:pPr>
      <w:bookmarkStart w:id="59" w:name="_Toc79392576"/>
      <w:r w:rsidRPr="006F4D70">
        <w:rPr>
          <w:rFonts w:asciiTheme="minorEastAsia" w:eastAsiaTheme="minorEastAsia" w:hAnsiTheme="minorEastAsia" w:cs="宋体" w:hint="eastAsia"/>
          <w:b/>
          <w:bCs/>
          <w:kern w:val="0"/>
          <w:szCs w:val="24"/>
        </w:rPr>
        <w:t>四、基金的投资目标</w:t>
      </w:r>
      <w:bookmarkEnd w:id="58"/>
    </w:p>
    <w:p w14:paraId="6594074C" w14:textId="3F91461A" w:rsidR="00595296" w:rsidRPr="006F4D70" w:rsidRDefault="00BC06B9">
      <w:pPr>
        <w:autoSpaceDE w:val="0"/>
        <w:autoSpaceDN w:val="0"/>
        <w:adjustRightInd w:val="0"/>
        <w:ind w:firstLine="480"/>
        <w:rPr>
          <w:rFonts w:asciiTheme="minorEastAsia" w:eastAsiaTheme="minorEastAsia" w:hAnsiTheme="minorEastAsia" w:cs="宋体"/>
          <w:kern w:val="0"/>
        </w:rPr>
      </w:pPr>
      <w:r w:rsidRPr="006F4D70">
        <w:rPr>
          <w:rFonts w:asciiTheme="minorEastAsia" w:eastAsiaTheme="minorEastAsia" w:hAnsiTheme="minorEastAsia" w:cs="宋体"/>
          <w:kern w:val="0"/>
        </w:rPr>
        <w:t>在</w:t>
      </w:r>
      <w:r w:rsidRPr="006F4D70">
        <w:rPr>
          <w:rFonts w:asciiTheme="minorEastAsia" w:eastAsiaTheme="minorEastAsia" w:hAnsiTheme="minorEastAsia" w:cs="宋体" w:hint="eastAsia"/>
          <w:kern w:val="0"/>
        </w:rPr>
        <w:t>力争</w:t>
      </w:r>
      <w:r w:rsidRPr="006F4D70">
        <w:rPr>
          <w:rFonts w:asciiTheme="minorEastAsia" w:eastAsiaTheme="minorEastAsia" w:hAnsiTheme="minorEastAsia" w:cs="宋体"/>
          <w:kern w:val="0"/>
        </w:rPr>
        <w:t>控制投资组合风险的前提下，通过专业化研究分析</w:t>
      </w:r>
      <w:r w:rsidRPr="006F4D70">
        <w:rPr>
          <w:rFonts w:asciiTheme="minorEastAsia" w:eastAsiaTheme="minorEastAsia" w:hAnsiTheme="minorEastAsia" w:cs="宋体" w:hint="eastAsia"/>
          <w:kern w:val="0"/>
        </w:rPr>
        <w:t>精选股票</w:t>
      </w:r>
      <w:r w:rsidRPr="006F4D70">
        <w:rPr>
          <w:rFonts w:asciiTheme="minorEastAsia" w:eastAsiaTheme="minorEastAsia" w:hAnsiTheme="minorEastAsia" w:cs="宋体"/>
          <w:kern w:val="0"/>
        </w:rPr>
        <w:t>，寻求基金资产的长期稳健增值，力争获得超越业绩比较基准的稳定收益。</w:t>
      </w:r>
    </w:p>
    <w:p w14:paraId="7AE8EC56" w14:textId="7DBD9A3F" w:rsidR="00595296" w:rsidRPr="006F4D70" w:rsidRDefault="002B7F4D">
      <w:pPr>
        <w:autoSpaceDE w:val="0"/>
        <w:autoSpaceDN w:val="0"/>
        <w:adjustRightInd w:val="0"/>
        <w:ind w:firstLine="482"/>
        <w:contextualSpacing/>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五、基金的最低募集份额总额</w:t>
      </w:r>
      <w:bookmarkEnd w:id="59"/>
    </w:p>
    <w:p w14:paraId="54BF9780" w14:textId="76E50B4A" w:rsidR="00595296" w:rsidRPr="006F4D70" w:rsidRDefault="002B7F4D">
      <w:pPr>
        <w:autoSpaceDE w:val="0"/>
        <w:autoSpaceDN w:val="0"/>
        <w:adjustRightInd w:val="0"/>
        <w:ind w:firstLine="480"/>
        <w:rPr>
          <w:rFonts w:asciiTheme="minorEastAsia" w:eastAsiaTheme="minorEastAsia" w:hAnsiTheme="minorEastAsia"/>
        </w:rPr>
      </w:pPr>
      <w:r w:rsidRPr="006F4D70">
        <w:rPr>
          <w:rFonts w:asciiTheme="minorEastAsia" w:eastAsiaTheme="minorEastAsia" w:hAnsiTheme="minorEastAsia" w:cs="宋体" w:hint="eastAsia"/>
          <w:kern w:val="0"/>
        </w:rPr>
        <w:t>本基金的最低募集份额总额为</w:t>
      </w:r>
      <w:r w:rsidRPr="006F4D70">
        <w:rPr>
          <w:rFonts w:asciiTheme="minorEastAsia" w:eastAsiaTheme="minorEastAsia" w:hAnsiTheme="minorEastAsia" w:cs="宋体"/>
          <w:kern w:val="0"/>
        </w:rPr>
        <w:t>2</w:t>
      </w:r>
      <w:r w:rsidRPr="006F4D70">
        <w:rPr>
          <w:rFonts w:asciiTheme="minorEastAsia" w:eastAsiaTheme="minorEastAsia" w:hAnsiTheme="minorEastAsia" w:cs="宋体" w:hint="eastAsia"/>
          <w:kern w:val="0"/>
        </w:rPr>
        <w:t>亿份。</w:t>
      </w:r>
    </w:p>
    <w:p w14:paraId="5523F7D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60" w:name="_Toc79392577"/>
      <w:r w:rsidRPr="006F4D70">
        <w:rPr>
          <w:rFonts w:asciiTheme="minorEastAsia" w:eastAsiaTheme="minorEastAsia" w:hAnsiTheme="minorEastAsia" w:cs="宋体" w:hint="eastAsia"/>
          <w:b/>
          <w:bCs/>
          <w:kern w:val="0"/>
          <w:szCs w:val="24"/>
        </w:rPr>
        <w:t>六、基金份额发售面值</w:t>
      </w:r>
      <w:bookmarkEnd w:id="60"/>
      <w:r w:rsidRPr="006F4D70">
        <w:rPr>
          <w:rFonts w:asciiTheme="minorEastAsia" w:eastAsiaTheme="minorEastAsia" w:hAnsiTheme="minorEastAsia" w:cs="宋体" w:hint="eastAsia"/>
          <w:b/>
          <w:bCs/>
          <w:kern w:val="0"/>
          <w:szCs w:val="24"/>
        </w:rPr>
        <w:t>和认购费用</w:t>
      </w:r>
    </w:p>
    <w:p w14:paraId="5FE8EED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本基金基金份额发售面值为人民币</w:t>
      </w:r>
      <w:r w:rsidRPr="006F4D70">
        <w:rPr>
          <w:rFonts w:asciiTheme="minorEastAsia" w:eastAsiaTheme="minorEastAsia" w:hAnsiTheme="minorEastAsia" w:cs="宋体"/>
          <w:kern w:val="0"/>
          <w:szCs w:val="24"/>
        </w:rPr>
        <w:t>1.00</w:t>
      </w:r>
      <w:r w:rsidRPr="006F4D70">
        <w:rPr>
          <w:rFonts w:asciiTheme="minorEastAsia" w:eastAsiaTheme="minorEastAsia" w:hAnsiTheme="minorEastAsia" w:cs="宋体" w:hint="eastAsia"/>
          <w:kern w:val="0"/>
          <w:szCs w:val="24"/>
        </w:rPr>
        <w:t>元。</w:t>
      </w:r>
    </w:p>
    <w:p w14:paraId="70729472" w14:textId="7D82C41E" w:rsidR="00076D15" w:rsidRDefault="00076D15" w:rsidP="00076D15">
      <w:pPr>
        <w:autoSpaceDE w:val="0"/>
        <w:autoSpaceDN w:val="0"/>
        <w:ind w:firstLine="480"/>
        <w:rPr>
          <w:rFonts w:ascii="宋体" w:hAnsi="Calibri" w:cs="宋体"/>
          <w:bCs/>
          <w:szCs w:val="24"/>
        </w:rPr>
      </w:pPr>
      <w:r w:rsidRPr="00076D15">
        <w:rPr>
          <w:rFonts w:asciiTheme="minorEastAsia" w:eastAsiaTheme="minorEastAsia" w:hAnsiTheme="minorEastAsia" w:cs="宋体" w:hint="eastAsia"/>
          <w:kern w:val="0"/>
          <w:szCs w:val="24"/>
        </w:rPr>
        <w:t>通过基金管理人认购本基金基金份额的，不收取认购费、销售服务费。</w:t>
      </w:r>
    </w:p>
    <w:p w14:paraId="6961047C" w14:textId="2531540F" w:rsidR="00076D15" w:rsidRDefault="00076D15" w:rsidP="00076D15">
      <w:pPr>
        <w:autoSpaceDE w:val="0"/>
        <w:autoSpaceDN w:val="0"/>
        <w:ind w:firstLine="480"/>
        <w:rPr>
          <w:rFonts w:ascii="宋体" w:hAnsi="Calibri" w:cs="宋体"/>
          <w:szCs w:val="24"/>
        </w:rPr>
      </w:pPr>
      <w:r w:rsidRPr="00046496">
        <w:rPr>
          <w:rFonts w:ascii="宋体" w:hAnsi="Calibri" w:cs="宋体" w:hint="eastAsia"/>
          <w:bCs/>
          <w:szCs w:val="24"/>
        </w:rPr>
        <w:t>通过代销机构认购本基金基金份额的，</w:t>
      </w:r>
      <w:r>
        <w:rPr>
          <w:rFonts w:ascii="宋体" w:hAnsi="Calibri" w:cs="宋体"/>
          <w:szCs w:val="24"/>
        </w:rPr>
        <w:t>A类基金份额的具体</w:t>
      </w:r>
      <w:r>
        <w:rPr>
          <w:rFonts w:ascii="宋体" w:hAnsi="Calibri" w:cs="宋体" w:hint="eastAsia"/>
          <w:szCs w:val="24"/>
        </w:rPr>
        <w:t>认购费率按招募说明书及基金产品资料概要的规定执行，</w:t>
      </w:r>
      <w:r>
        <w:rPr>
          <w:rFonts w:ascii="宋体" w:hAnsi="Calibri" w:cs="宋体"/>
          <w:szCs w:val="24"/>
        </w:rPr>
        <w:t>C类基金份额不收取认购费。</w:t>
      </w:r>
    </w:p>
    <w:p w14:paraId="05DF7BDC"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61" w:name="_Toc79392578"/>
      <w:r w:rsidRPr="006F4D70">
        <w:rPr>
          <w:rFonts w:asciiTheme="minorEastAsia" w:eastAsiaTheme="minorEastAsia" w:hAnsiTheme="minorEastAsia" w:cs="宋体" w:hint="eastAsia"/>
          <w:b/>
          <w:bCs/>
          <w:kern w:val="0"/>
          <w:szCs w:val="24"/>
        </w:rPr>
        <w:t>七、基金存续期限</w:t>
      </w:r>
      <w:bookmarkEnd w:id="61"/>
    </w:p>
    <w:p w14:paraId="699F6CD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不定期</w:t>
      </w:r>
    </w:p>
    <w:p w14:paraId="241EECEA"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62" w:name="_Toc27226"/>
      <w:bookmarkStart w:id="63" w:name="_Toc27189"/>
      <w:bookmarkStart w:id="64" w:name="_Toc90742688"/>
      <w:bookmarkStart w:id="65" w:name="_Toc24682"/>
      <w:bookmarkStart w:id="66" w:name="_Toc3266"/>
      <w:bookmarkStart w:id="67" w:name="_Toc7151"/>
      <w:bookmarkStart w:id="68" w:name="_Toc22074"/>
      <w:bookmarkStart w:id="69" w:name="_Toc29784"/>
      <w:bookmarkStart w:id="70" w:name="_Toc6714"/>
      <w:bookmarkStart w:id="71" w:name="_Toc90742390"/>
      <w:bookmarkStart w:id="72" w:name="_Toc16265"/>
      <w:bookmarkStart w:id="73" w:name="_Toc29948"/>
      <w:bookmarkStart w:id="74" w:name="_Toc90742321"/>
      <w:bookmarkStart w:id="75" w:name="_Toc15203"/>
      <w:r w:rsidRPr="006F4D70">
        <w:rPr>
          <w:rFonts w:asciiTheme="minorEastAsia" w:eastAsiaTheme="minorEastAsia" w:hAnsiTheme="minorEastAsia" w:cs="宋体" w:hint="eastAsia"/>
          <w:b/>
          <w:bCs/>
          <w:kern w:val="0"/>
          <w:szCs w:val="24"/>
        </w:rPr>
        <w:t>八、基金的募集规模上限</w:t>
      </w:r>
    </w:p>
    <w:p w14:paraId="51739610"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本基金的募集规模上限、规模控制的具体方案详见基金份额发售</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4D70">
        <w:rPr>
          <w:rFonts w:asciiTheme="minorEastAsia" w:eastAsiaTheme="minorEastAsia" w:hAnsiTheme="minorEastAsia" w:cs="宋体" w:hint="eastAsia"/>
          <w:bCs/>
          <w:kern w:val="0"/>
          <w:szCs w:val="24"/>
        </w:rPr>
        <w:t>公告</w:t>
      </w:r>
      <w:r w:rsidRPr="006F4D70">
        <w:rPr>
          <w:rFonts w:asciiTheme="minorEastAsia" w:eastAsiaTheme="minorEastAsia" w:hAnsiTheme="minorEastAsia" w:cs="宋体" w:hint="eastAsia"/>
          <w:color w:val="000000"/>
          <w:kern w:val="0"/>
          <w:szCs w:val="24"/>
        </w:rPr>
        <w:t>或其他公告</w:t>
      </w: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hint="eastAsia"/>
          <w:color w:val="000000"/>
          <w:kern w:val="0"/>
          <w:szCs w:val="24"/>
        </w:rPr>
        <w:t>若本基金设置募集</w:t>
      </w:r>
      <w:r w:rsidRPr="006F4D70">
        <w:rPr>
          <w:rFonts w:asciiTheme="minorEastAsia" w:eastAsiaTheme="minorEastAsia" w:hAnsiTheme="minorEastAsia" w:cs="宋体" w:hint="eastAsia"/>
          <w:bCs/>
          <w:kern w:val="0"/>
          <w:szCs w:val="24"/>
        </w:rPr>
        <w:t>规模</w:t>
      </w:r>
      <w:r w:rsidRPr="006F4D70">
        <w:rPr>
          <w:rFonts w:asciiTheme="minorEastAsia" w:eastAsiaTheme="minorEastAsia" w:hAnsiTheme="minorEastAsia" w:cs="宋体" w:hint="eastAsia"/>
          <w:color w:val="000000"/>
          <w:kern w:val="0"/>
          <w:szCs w:val="24"/>
        </w:rPr>
        <w:t>上限，</w:t>
      </w:r>
      <w:r w:rsidRPr="006F4D70">
        <w:rPr>
          <w:rFonts w:asciiTheme="minorEastAsia" w:eastAsiaTheme="minorEastAsia" w:hAnsiTheme="minorEastAsia" w:cs="宋体" w:hint="eastAsia"/>
          <w:bCs/>
          <w:kern w:val="0"/>
          <w:szCs w:val="24"/>
        </w:rPr>
        <w:t>基金合同生效后不受此规模限制。</w:t>
      </w:r>
    </w:p>
    <w:p w14:paraId="5A50C17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九</w:t>
      </w:r>
      <w:r w:rsidRPr="006F4D70">
        <w:rPr>
          <w:rFonts w:asciiTheme="minorEastAsia" w:eastAsiaTheme="minorEastAsia" w:hAnsiTheme="minorEastAsia" w:cs="宋体"/>
          <w:b/>
          <w:bCs/>
          <w:kern w:val="0"/>
          <w:szCs w:val="24"/>
        </w:rPr>
        <w:t>、基金份额类别设置</w:t>
      </w:r>
    </w:p>
    <w:p w14:paraId="671B1ABE" w14:textId="77777777" w:rsidR="00595296" w:rsidRPr="006F4D70" w:rsidRDefault="002B7F4D">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本基金根据认购费用、申购费用、销售服务费收取方式的不同，将基金份额分为不同的类别。</w:t>
      </w:r>
    </w:p>
    <w:p w14:paraId="15DDD86C" w14:textId="6FAC3388" w:rsidR="00595296" w:rsidRPr="006F4D70" w:rsidRDefault="002B7F4D">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A类基金份额：在投资人认购、申购基金时</w:t>
      </w:r>
      <w:r w:rsidR="000F4E35">
        <w:rPr>
          <w:rFonts w:asciiTheme="minorEastAsia" w:eastAsiaTheme="minorEastAsia" w:hAnsiTheme="minorEastAsia" w:cs="宋体" w:hint="eastAsia"/>
          <w:kern w:val="0"/>
          <w:szCs w:val="24"/>
        </w:rPr>
        <w:t>代销机构</w:t>
      </w:r>
      <w:r w:rsidRPr="006F4D70">
        <w:rPr>
          <w:rFonts w:asciiTheme="minorEastAsia" w:eastAsiaTheme="minorEastAsia" w:hAnsiTheme="minorEastAsia" w:cs="宋体" w:hint="eastAsia"/>
          <w:kern w:val="0"/>
          <w:szCs w:val="24"/>
        </w:rPr>
        <w:t>收取认购费、申购费，而不从本类别基金财产中计提销售服务费；</w:t>
      </w:r>
    </w:p>
    <w:p w14:paraId="50D5F61D" w14:textId="71AABFDD" w:rsidR="000F4E35" w:rsidRDefault="002B7F4D" w:rsidP="00BC7401">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C类基金份额：在投资人认购、申购基金时</w:t>
      </w:r>
      <w:r w:rsidR="000F4E35">
        <w:rPr>
          <w:rFonts w:asciiTheme="minorEastAsia" w:eastAsiaTheme="minorEastAsia" w:hAnsiTheme="minorEastAsia" w:cs="宋体" w:hint="eastAsia"/>
          <w:kern w:val="0"/>
          <w:szCs w:val="24"/>
        </w:rPr>
        <w:t>代销机构</w:t>
      </w:r>
      <w:r w:rsidRPr="006F4D70">
        <w:rPr>
          <w:rFonts w:asciiTheme="minorEastAsia" w:eastAsiaTheme="minorEastAsia" w:hAnsiTheme="minorEastAsia" w:cs="宋体" w:hint="eastAsia"/>
          <w:kern w:val="0"/>
          <w:szCs w:val="24"/>
        </w:rPr>
        <w:t>不收取认购费、申购</w:t>
      </w:r>
      <w:r w:rsidRPr="006F4D70">
        <w:rPr>
          <w:rFonts w:asciiTheme="minorEastAsia" w:eastAsiaTheme="minorEastAsia" w:hAnsiTheme="minorEastAsia" w:cs="宋体" w:hint="eastAsia"/>
          <w:kern w:val="0"/>
          <w:szCs w:val="24"/>
        </w:rPr>
        <w:lastRenderedPageBreak/>
        <w:t>费，而是从本类别</w:t>
      </w:r>
      <w:r w:rsidR="000F4E35" w:rsidRPr="000F4E35">
        <w:rPr>
          <w:rFonts w:asciiTheme="minorEastAsia" w:eastAsiaTheme="minorEastAsia" w:hAnsiTheme="minorEastAsia" w:cs="宋体" w:hint="eastAsia"/>
          <w:kern w:val="0"/>
          <w:szCs w:val="24"/>
        </w:rPr>
        <w:t>代销机构保有部分的基金财产中计提销售服务费支付给代销机构；其中，对于投资人通过基金管理人认购</w:t>
      </w:r>
      <w:r w:rsidR="000F4E35" w:rsidRPr="000F4E35">
        <w:rPr>
          <w:rFonts w:asciiTheme="minorEastAsia" w:eastAsiaTheme="minorEastAsia" w:hAnsiTheme="minorEastAsia" w:cs="宋体"/>
          <w:kern w:val="0"/>
          <w:szCs w:val="24"/>
        </w:rPr>
        <w:t>/申购的或者通过代销机构认购/申购且持续持有期限超过一年（即365天）的C类基金份额，直销计提的销售服务费和代销持有超过一年后计提的销售服务费将在投资者赎回相应基金份额或基金合同终止时随赎回款或清算款一并返还给投资者。</w:t>
      </w:r>
    </w:p>
    <w:p w14:paraId="7AC46233" w14:textId="1CAAB5BA" w:rsidR="00595296" w:rsidRPr="006F4D70" w:rsidRDefault="0013564C" w:rsidP="009E1913">
      <w:pPr>
        <w:autoSpaceDE w:val="0"/>
        <w:autoSpaceDN w:val="0"/>
        <w:adjustRightInd w:val="0"/>
        <w:ind w:firstLine="480"/>
        <w:jc w:val="left"/>
        <w:rPr>
          <w:rFonts w:asciiTheme="minorEastAsia" w:eastAsiaTheme="minorEastAsia" w:hAnsiTheme="minorEastAsia" w:cs="宋体"/>
          <w:kern w:val="0"/>
          <w:szCs w:val="24"/>
        </w:rPr>
      </w:pPr>
      <w:r w:rsidRPr="0013564C">
        <w:rPr>
          <w:rFonts w:asciiTheme="minorEastAsia" w:eastAsiaTheme="minorEastAsia" w:hAnsiTheme="minorEastAsia" w:cs="宋体" w:hint="eastAsia"/>
          <w:kern w:val="0"/>
          <w:szCs w:val="24"/>
        </w:rPr>
        <w:t>通过基金管理人认（申）购本基金基金份额的，不收取认（申）购费、</w:t>
      </w:r>
      <w:r w:rsidR="002B7F4D" w:rsidRPr="006F4D70">
        <w:rPr>
          <w:rFonts w:asciiTheme="minorEastAsia" w:eastAsiaTheme="minorEastAsia" w:hAnsiTheme="minorEastAsia" w:cs="宋体" w:hint="eastAsia"/>
          <w:kern w:val="0"/>
          <w:szCs w:val="24"/>
        </w:rPr>
        <w:t>销售服务费。</w:t>
      </w:r>
    </w:p>
    <w:p w14:paraId="5AF83CDB" w14:textId="77777777" w:rsidR="00595296" w:rsidRPr="006F4D70" w:rsidRDefault="002B7F4D">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本基金A类基金份额、C类基金份额分别设置代码，并分别计算基金份额净值。计算公式为:</w:t>
      </w:r>
    </w:p>
    <w:p w14:paraId="004380FE" w14:textId="77777777" w:rsidR="00595296" w:rsidRPr="006F4D70" w:rsidRDefault="002B7F4D">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T日某类基金份额净值＝T日该类基金份额的基金资产净值/T日该类基金份额余额总数。</w:t>
      </w:r>
    </w:p>
    <w:p w14:paraId="38B8452C" w14:textId="77777777" w:rsidR="00595296" w:rsidRPr="006F4D70" w:rsidRDefault="002B7F4D">
      <w:pPr>
        <w:autoSpaceDE w:val="0"/>
        <w:autoSpaceDN w:val="0"/>
        <w:adjustRightInd w:val="0"/>
        <w:ind w:firstLine="480"/>
        <w:jc w:val="left"/>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投资人在认购、申购基金份额时可自行选择基金份额类别。</w:t>
      </w:r>
    </w:p>
    <w:p w14:paraId="10428BF8" w14:textId="77777777" w:rsidR="00595296" w:rsidRPr="006F4D70" w:rsidRDefault="002B7F4D">
      <w:pPr>
        <w:autoSpaceDE w:val="0"/>
        <w:autoSpaceDN w:val="0"/>
        <w:adjustRightInd w:val="0"/>
        <w:ind w:firstLine="480"/>
        <w:rPr>
          <w:rFonts w:asciiTheme="minorEastAsia" w:eastAsiaTheme="minorEastAsia" w:hAnsiTheme="minorEastAsia" w:cs="宋体"/>
          <w:b/>
          <w:bCs/>
          <w:kern w:val="0"/>
          <w:sz w:val="30"/>
          <w:szCs w:val="30"/>
        </w:rPr>
      </w:pPr>
      <w:r w:rsidRPr="006F4D70">
        <w:rPr>
          <w:rFonts w:asciiTheme="minorEastAsia" w:eastAsiaTheme="minorEastAsia" w:hAnsiTheme="minorEastAsia" w:cs="宋体" w:hint="eastAsia"/>
          <w:kern w:val="0"/>
          <w:szCs w:val="24"/>
        </w:rPr>
        <w:t>有关基金份额类别的具体设置、费率水平等由基金管理人确定，并在招募说明书中公告。</w:t>
      </w:r>
      <w:r w:rsidRPr="006F4D70">
        <w:rPr>
          <w:rFonts w:asciiTheme="minorEastAsia" w:eastAsiaTheme="minorEastAsia" w:hAnsiTheme="minorEastAsia" w:cs="宋体"/>
          <w:kern w:val="0"/>
          <w:szCs w:val="24"/>
        </w:rPr>
        <w:t>在不违反法律法规</w:t>
      </w:r>
      <w:r w:rsidRPr="006F4D70">
        <w:rPr>
          <w:rFonts w:asciiTheme="minorEastAsia" w:eastAsiaTheme="minorEastAsia" w:hAnsiTheme="minorEastAsia" w:cs="宋体" w:hint="eastAsia"/>
          <w:kern w:val="0"/>
          <w:szCs w:val="24"/>
        </w:rPr>
        <w:t>规定</w:t>
      </w:r>
      <w:r w:rsidRPr="006F4D70">
        <w:rPr>
          <w:rFonts w:asciiTheme="minorEastAsia" w:eastAsiaTheme="minorEastAsia" w:hAnsiTheme="minorEastAsia" w:cs="宋体"/>
          <w:kern w:val="0"/>
          <w:szCs w:val="24"/>
        </w:rPr>
        <w:t>、基金合同的约定以及对基金份额持有人利益无实质性不利影响的情况下，</w:t>
      </w:r>
      <w:r w:rsidRPr="006F4D70">
        <w:rPr>
          <w:rFonts w:asciiTheme="minorEastAsia" w:eastAsiaTheme="minorEastAsia" w:hAnsiTheme="minorEastAsia" w:cs="宋体" w:hint="eastAsia"/>
          <w:kern w:val="0"/>
          <w:szCs w:val="24"/>
        </w:rPr>
        <w:t>经与基金托管人就清算交收、核算估值、系统支持等方面协商一致，基金管理人在履行适当程序后</w:t>
      </w:r>
      <w:r w:rsidRPr="006F4D70">
        <w:rPr>
          <w:rFonts w:asciiTheme="minorEastAsia" w:eastAsiaTheme="minorEastAsia" w:hAnsiTheme="minorEastAsia" w:cs="宋体"/>
          <w:kern w:val="0"/>
          <w:szCs w:val="24"/>
        </w:rPr>
        <w:t>可增加、减少或调整基金份额类别设置、对基金份额分类办法及规则进行调整并在调整实施之日前依照《信息披露办法》的有关规定在规定媒介上公告，不需要召开基金份额持有人大会。</w:t>
      </w:r>
    </w:p>
    <w:p w14:paraId="640068EE" w14:textId="77777777" w:rsidR="00595296" w:rsidRPr="006F4D70" w:rsidRDefault="002B7F4D">
      <w:pPr>
        <w:pStyle w:val="1"/>
        <w:ind w:firstLine="600"/>
        <w:rPr>
          <w:rFonts w:asciiTheme="minorEastAsia" w:eastAsiaTheme="minorEastAsia" w:hAnsiTheme="minorEastAsia"/>
          <w:kern w:val="0"/>
        </w:rPr>
      </w:pPr>
      <w:r w:rsidRPr="006F4D70">
        <w:rPr>
          <w:rFonts w:asciiTheme="minorEastAsia" w:eastAsiaTheme="minorEastAsia" w:hAnsiTheme="minorEastAsia" w:cs="宋体"/>
          <w:b w:val="0"/>
          <w:bCs w:val="0"/>
          <w:kern w:val="0"/>
        </w:rPr>
        <w:br w:type="page"/>
      </w:r>
      <w:bookmarkStart w:id="76" w:name="_Toc377998619"/>
      <w:bookmarkStart w:id="77" w:name="_Toc198902616"/>
      <w:r w:rsidRPr="006F4D70">
        <w:rPr>
          <w:rFonts w:asciiTheme="minorEastAsia" w:eastAsiaTheme="minorEastAsia" w:hAnsiTheme="minorEastAsia" w:hint="eastAsia"/>
          <w:kern w:val="0"/>
        </w:rPr>
        <w:lastRenderedPageBreak/>
        <w:t>第四部分    基金份额的发售</w:t>
      </w:r>
      <w:bookmarkEnd w:id="76"/>
      <w:bookmarkEnd w:id="77"/>
    </w:p>
    <w:p w14:paraId="7EC6695E"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一、基金份额的发售时间、发售方式、发售对象</w:t>
      </w:r>
    </w:p>
    <w:p w14:paraId="1CC54578"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1、发售时间</w:t>
      </w:r>
    </w:p>
    <w:p w14:paraId="5706CC0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自基金份额发售之日起最长不得超过</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个月，具体发售时间见基金份额发售公告及相关公告。</w:t>
      </w:r>
    </w:p>
    <w:p w14:paraId="3ACF2F8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2、发售方式</w:t>
      </w:r>
    </w:p>
    <w:p w14:paraId="395ED38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通过各销售机构公开发售，各销售机构的具体名单见基金管理人网站披露的基金销售机构名录。</w:t>
      </w:r>
    </w:p>
    <w:p w14:paraId="05E52C66"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3、发售对象</w:t>
      </w:r>
    </w:p>
    <w:p w14:paraId="43E4F66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符合法律法规规定的可投资于证券投资基金的个人投资者、机构投资者、合格境外投资者以及法律法规或中国证监会允许购买证券投资基金的其他投资人。</w:t>
      </w:r>
    </w:p>
    <w:p w14:paraId="41CECEB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二、基金份额的认购</w:t>
      </w:r>
    </w:p>
    <w:p w14:paraId="35DC82B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1、认购费用</w:t>
      </w:r>
    </w:p>
    <w:p w14:paraId="3686856B" w14:textId="77777777" w:rsidR="0013564C" w:rsidRDefault="0013564C">
      <w:pPr>
        <w:autoSpaceDE w:val="0"/>
        <w:autoSpaceDN w:val="0"/>
        <w:adjustRightInd w:val="0"/>
        <w:ind w:firstLine="480"/>
        <w:rPr>
          <w:rFonts w:asciiTheme="minorEastAsia" w:eastAsiaTheme="minorEastAsia" w:hAnsiTheme="minorEastAsia" w:cs="宋体"/>
          <w:bCs/>
          <w:color w:val="000000"/>
          <w:kern w:val="0"/>
          <w:szCs w:val="24"/>
        </w:rPr>
      </w:pPr>
      <w:r w:rsidRPr="0013564C">
        <w:rPr>
          <w:rFonts w:asciiTheme="minorEastAsia" w:eastAsiaTheme="minorEastAsia" w:hAnsiTheme="minorEastAsia" w:cs="宋体" w:hint="eastAsia"/>
          <w:bCs/>
          <w:color w:val="000000"/>
          <w:kern w:val="0"/>
          <w:szCs w:val="24"/>
        </w:rPr>
        <w:t>通过基金管理人认购本基金基金份额的，不收取认购费、销售服务费。</w:t>
      </w:r>
    </w:p>
    <w:p w14:paraId="678F9094" w14:textId="14219835" w:rsidR="00595296" w:rsidRPr="006F4D70" w:rsidRDefault="0013564C">
      <w:pPr>
        <w:autoSpaceDE w:val="0"/>
        <w:autoSpaceDN w:val="0"/>
        <w:adjustRightInd w:val="0"/>
        <w:ind w:firstLine="480"/>
        <w:rPr>
          <w:rFonts w:asciiTheme="minorEastAsia" w:eastAsiaTheme="minorEastAsia" w:hAnsiTheme="minorEastAsia" w:cs="宋体"/>
          <w:kern w:val="0"/>
          <w:szCs w:val="24"/>
        </w:rPr>
      </w:pPr>
      <w:r w:rsidRPr="0013564C">
        <w:rPr>
          <w:rFonts w:asciiTheme="minorEastAsia" w:eastAsiaTheme="minorEastAsia" w:hAnsiTheme="minorEastAsia" w:cs="宋体" w:hint="eastAsia"/>
          <w:bCs/>
          <w:color w:val="000000"/>
          <w:kern w:val="0"/>
          <w:szCs w:val="24"/>
        </w:rPr>
        <w:t>通过代销机构认购本基金基金份额的，</w:t>
      </w:r>
      <w:r w:rsidR="002B7F4D" w:rsidRPr="006F4D70">
        <w:rPr>
          <w:rFonts w:asciiTheme="minorEastAsia" w:eastAsiaTheme="minorEastAsia" w:hAnsiTheme="minorEastAsia" w:cs="宋体" w:hint="eastAsia"/>
          <w:bCs/>
          <w:color w:val="000000"/>
          <w:kern w:val="0"/>
          <w:szCs w:val="24"/>
        </w:rPr>
        <w:t>A类基金份额的认购费率由基金管理人决定，并在招募说明书及基金产品资料概要中列示。基金认购费用不列入基金财产</w:t>
      </w:r>
      <w:r w:rsidR="002B7F4D" w:rsidRPr="006F4D70">
        <w:rPr>
          <w:rFonts w:asciiTheme="minorEastAsia" w:eastAsiaTheme="minorEastAsia" w:hAnsiTheme="minorEastAsia" w:cs="宋体" w:hint="eastAsia"/>
          <w:kern w:val="0"/>
          <w:szCs w:val="24"/>
        </w:rPr>
        <w:t>。</w:t>
      </w:r>
      <w:r w:rsidR="002B7F4D" w:rsidRPr="006F4D70">
        <w:rPr>
          <w:rFonts w:asciiTheme="minorEastAsia" w:eastAsiaTheme="minorEastAsia" w:hAnsiTheme="minorEastAsia" w:cs="宋体" w:hint="eastAsia"/>
          <w:bCs/>
          <w:color w:val="000000"/>
          <w:kern w:val="0"/>
          <w:szCs w:val="24"/>
        </w:rPr>
        <w:t>C类基金份额不收取认购费。</w:t>
      </w:r>
    </w:p>
    <w:p w14:paraId="09AA5F67"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2、募集期利息的处理方式</w:t>
      </w:r>
    </w:p>
    <w:p w14:paraId="681A9987" w14:textId="4D0CC230"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有效认购款项在募集期间产生的利息将折算为相应类别的基金份额归基金份额持有人所有，其中利息转份额</w:t>
      </w:r>
      <w:r w:rsidR="00C246F9" w:rsidRPr="00C246F9">
        <w:rPr>
          <w:rFonts w:asciiTheme="minorEastAsia" w:eastAsiaTheme="minorEastAsia" w:hAnsiTheme="minorEastAsia" w:cs="宋体" w:hint="eastAsia"/>
          <w:kern w:val="0"/>
          <w:szCs w:val="24"/>
        </w:rPr>
        <w:t>的具体数额</w:t>
      </w:r>
      <w:r w:rsidRPr="006F4D70">
        <w:rPr>
          <w:rFonts w:asciiTheme="minorEastAsia" w:eastAsiaTheme="minorEastAsia" w:hAnsiTheme="minorEastAsia" w:cs="宋体" w:hint="eastAsia"/>
          <w:kern w:val="0"/>
          <w:szCs w:val="24"/>
        </w:rPr>
        <w:t>以登记机构的记录为准。</w:t>
      </w:r>
    </w:p>
    <w:p w14:paraId="5F80C933"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3、基金认购份额的计算</w:t>
      </w:r>
    </w:p>
    <w:p w14:paraId="6AB39EB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基金认购份额具体的计算方法在招募说明书中列示。</w:t>
      </w:r>
    </w:p>
    <w:p w14:paraId="07DCAF9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4、认购份额余额的处理方式</w:t>
      </w:r>
    </w:p>
    <w:p w14:paraId="384A11C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认购份额的计算保留到小数点后2位，小数点2位以后的部分四舍五入，由此误差产生的收益或损失由基金财产享有或承担。</w:t>
      </w:r>
    </w:p>
    <w:p w14:paraId="0C98967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5、认购申请的确认</w:t>
      </w:r>
    </w:p>
    <w:p w14:paraId="54D0721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销售机构对认购申请的受理并不代表该申请一定成功，而仅代表销售机构确实接收到认购申请。认购的确认以登记机构的确认结果为准。</w:t>
      </w:r>
      <w:r w:rsidRPr="006F4D70">
        <w:rPr>
          <w:rFonts w:asciiTheme="minorEastAsia" w:eastAsiaTheme="minorEastAsia" w:hAnsiTheme="minorEastAsia" w:cs="宋体" w:hint="eastAsia"/>
          <w:bCs/>
          <w:kern w:val="0"/>
          <w:szCs w:val="24"/>
        </w:rPr>
        <w:t>对于认购申请及认</w:t>
      </w:r>
      <w:r w:rsidRPr="006F4D70">
        <w:rPr>
          <w:rFonts w:asciiTheme="minorEastAsia" w:eastAsiaTheme="minorEastAsia" w:hAnsiTheme="minorEastAsia" w:cs="宋体" w:hint="eastAsia"/>
          <w:bCs/>
          <w:kern w:val="0"/>
          <w:szCs w:val="24"/>
        </w:rPr>
        <w:lastRenderedPageBreak/>
        <w:t>购份额的确认情况，投资人应及时查询并妥善行使合法权利，否则，由此产生的投资人任何损失由投资人自行承担。</w:t>
      </w:r>
    </w:p>
    <w:p w14:paraId="5BB6FFE1"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三、基金份额认购金额的限制</w:t>
      </w:r>
    </w:p>
    <w:p w14:paraId="168334C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1、投资人认购时，需按销售机构规定的方式全额缴款。</w:t>
      </w:r>
    </w:p>
    <w:p w14:paraId="428D830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2、基金管理人可以对每个基金交易账户的认购金额进行限制，具体限制请参见招募说明书或相关公告。</w:t>
      </w:r>
    </w:p>
    <w:p w14:paraId="49E956C0" w14:textId="77777777" w:rsidR="00595296" w:rsidRPr="006F4D70" w:rsidRDefault="002B7F4D">
      <w:pPr>
        <w:autoSpaceDE w:val="0"/>
        <w:autoSpaceDN w:val="0"/>
        <w:adjustRightInd w:val="0"/>
        <w:ind w:firstLine="480"/>
        <w:rPr>
          <w:rFonts w:asciiTheme="minorEastAsia" w:eastAsiaTheme="minorEastAsia" w:hAnsiTheme="minorEastAsia" w:cs="宋体"/>
          <w:bCs/>
          <w:color w:val="000000"/>
          <w:kern w:val="0"/>
          <w:szCs w:val="24"/>
        </w:rPr>
      </w:pPr>
      <w:r w:rsidRPr="006F4D70">
        <w:rPr>
          <w:rFonts w:asciiTheme="minorEastAsia" w:eastAsiaTheme="minorEastAsia" w:hAnsiTheme="minorEastAsia" w:cs="宋体" w:hint="eastAsia"/>
          <w:kern w:val="0"/>
          <w:szCs w:val="24"/>
        </w:rPr>
        <w:t>3、基金管理人可以对募集期间的单个投资人的累计认购金额进行限制，具体限制和处理方法请参见招募说明书或相关公告。</w:t>
      </w:r>
    </w:p>
    <w:p w14:paraId="17B1D31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单个投资人累计认购基金份额的比例达到或者超过基金份额总数的50%，或者出现变相规避50%集中度情形的，基金管理人有权对该等认购申请进行部分确认或拒绝接受该等认购申请。投资人认购的基金份额数以登记机构的确认为准。</w:t>
      </w:r>
    </w:p>
    <w:p w14:paraId="1BFC4DA3" w14:textId="77777777" w:rsidR="00595296" w:rsidRPr="006F4D70" w:rsidRDefault="002B7F4D">
      <w:pPr>
        <w:autoSpaceDE w:val="0"/>
        <w:autoSpaceDN w:val="0"/>
        <w:adjustRightInd w:val="0"/>
        <w:ind w:firstLine="480"/>
        <w:rPr>
          <w:rFonts w:asciiTheme="minorEastAsia" w:eastAsiaTheme="minorEastAsia" w:hAnsiTheme="minorEastAsia" w:cs="宋体"/>
          <w:bCs/>
          <w:color w:val="000000"/>
          <w:kern w:val="0"/>
          <w:szCs w:val="24"/>
        </w:rPr>
      </w:pPr>
      <w:r w:rsidRPr="006F4D70">
        <w:rPr>
          <w:rFonts w:asciiTheme="minorEastAsia" w:eastAsiaTheme="minorEastAsia" w:hAnsiTheme="minorEastAsia" w:cs="宋体" w:hint="eastAsia"/>
          <w:bCs/>
          <w:color w:val="000000"/>
          <w:kern w:val="0"/>
          <w:szCs w:val="24"/>
        </w:rPr>
        <w:t>5、投资人在募集期内可以多次认购，须按每次认购所对应的费率档次分别计费。已受理的认购申请不允许撤销。</w:t>
      </w:r>
    </w:p>
    <w:p w14:paraId="393B1ABE" w14:textId="77777777" w:rsidR="00595296" w:rsidRPr="006F4D70" w:rsidRDefault="00595296">
      <w:pPr>
        <w:autoSpaceDE w:val="0"/>
        <w:autoSpaceDN w:val="0"/>
        <w:adjustRightInd w:val="0"/>
        <w:ind w:firstLine="602"/>
        <w:rPr>
          <w:rFonts w:asciiTheme="minorEastAsia" w:eastAsiaTheme="minorEastAsia" w:hAnsiTheme="minorEastAsia" w:cs="宋体"/>
          <w:b/>
          <w:bCs/>
          <w:kern w:val="0"/>
          <w:sz w:val="30"/>
          <w:szCs w:val="30"/>
        </w:rPr>
      </w:pPr>
    </w:p>
    <w:p w14:paraId="2B7DAB2A" w14:textId="77777777" w:rsidR="00595296" w:rsidRPr="006F4D70" w:rsidRDefault="002B7F4D">
      <w:pPr>
        <w:widowControl/>
        <w:ind w:firstLine="602"/>
        <w:jc w:val="left"/>
        <w:rPr>
          <w:rFonts w:asciiTheme="minorEastAsia" w:eastAsiaTheme="minorEastAsia" w:hAnsiTheme="minorEastAsia" w:cs="宋体"/>
          <w:b/>
          <w:bCs/>
          <w:kern w:val="0"/>
          <w:sz w:val="30"/>
          <w:szCs w:val="30"/>
        </w:rPr>
      </w:pPr>
      <w:r w:rsidRPr="006F4D70">
        <w:rPr>
          <w:rFonts w:asciiTheme="minorEastAsia" w:eastAsiaTheme="minorEastAsia" w:hAnsiTheme="minorEastAsia" w:cs="宋体"/>
          <w:b/>
          <w:bCs/>
          <w:kern w:val="0"/>
          <w:sz w:val="30"/>
          <w:szCs w:val="30"/>
        </w:rPr>
        <w:br w:type="page"/>
      </w:r>
    </w:p>
    <w:p w14:paraId="0F1C3052" w14:textId="77777777" w:rsidR="00595296" w:rsidRPr="006F4D70" w:rsidRDefault="002B7F4D">
      <w:pPr>
        <w:pStyle w:val="1"/>
        <w:ind w:firstLine="602"/>
        <w:rPr>
          <w:rFonts w:asciiTheme="minorEastAsia" w:eastAsiaTheme="minorEastAsia" w:hAnsiTheme="minorEastAsia"/>
          <w:kern w:val="0"/>
        </w:rPr>
      </w:pPr>
      <w:bookmarkStart w:id="78" w:name="_Toc377998620"/>
      <w:bookmarkStart w:id="79" w:name="_Toc198902617"/>
      <w:r w:rsidRPr="006F4D70">
        <w:rPr>
          <w:rFonts w:asciiTheme="minorEastAsia" w:eastAsiaTheme="minorEastAsia" w:hAnsiTheme="minorEastAsia" w:hint="eastAsia"/>
          <w:kern w:val="0"/>
        </w:rPr>
        <w:lastRenderedPageBreak/>
        <w:t>第五部分    基金备案</w:t>
      </w:r>
      <w:bookmarkEnd w:id="78"/>
      <w:bookmarkEnd w:id="79"/>
    </w:p>
    <w:p w14:paraId="477666E5"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80" w:name="OLE_LINK4"/>
      <w:r w:rsidRPr="006F4D70">
        <w:rPr>
          <w:rFonts w:asciiTheme="minorEastAsia" w:eastAsiaTheme="minorEastAsia" w:hAnsiTheme="minorEastAsia" w:cs="宋体" w:hint="eastAsia"/>
          <w:b/>
          <w:bCs/>
          <w:kern w:val="0"/>
          <w:szCs w:val="24"/>
        </w:rPr>
        <w:t>一、基金备案的条件</w:t>
      </w:r>
    </w:p>
    <w:p w14:paraId="2456465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本基金自基金份额发售之日起</w:t>
      </w:r>
      <w:r w:rsidRPr="006F4D70">
        <w:rPr>
          <w:rFonts w:asciiTheme="minorEastAsia" w:eastAsiaTheme="minorEastAsia" w:hAnsiTheme="minorEastAsia" w:cs="宋体"/>
          <w:kern w:val="0"/>
          <w:szCs w:val="24"/>
        </w:rPr>
        <w:t>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1CD6629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78FDCB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《基金合同》生效时，有效认购款项在募集期间产生的利息将折算成相应类别的基金份额归投资人所有。</w:t>
      </w:r>
    </w:p>
    <w:p w14:paraId="15125CDA"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二、基金合同不能生效时募集资金的处理方式</w:t>
      </w:r>
    </w:p>
    <w:p w14:paraId="7C80D5E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如果募集期限届满，未满足基金备案条件，基金管理人应当承担下列责任：</w:t>
      </w:r>
    </w:p>
    <w:p w14:paraId="759B26C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、以其固有财产承担因募集行为而产生的债务和费用；</w:t>
      </w:r>
    </w:p>
    <w:p w14:paraId="5C2AB585" w14:textId="22DDADC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、在基金募集期限届满后</w:t>
      </w:r>
      <w:r w:rsidRPr="006F4D70">
        <w:rPr>
          <w:rFonts w:asciiTheme="minorEastAsia" w:eastAsiaTheme="minorEastAsia" w:hAnsiTheme="minorEastAsia" w:cs="宋体"/>
          <w:kern w:val="0"/>
          <w:szCs w:val="24"/>
        </w:rPr>
        <w:t>30</w:t>
      </w:r>
      <w:r w:rsidRPr="006F4D70">
        <w:rPr>
          <w:rFonts w:asciiTheme="minorEastAsia" w:eastAsiaTheme="minorEastAsia" w:hAnsiTheme="minorEastAsia" w:cs="宋体" w:hint="eastAsia"/>
          <w:kern w:val="0"/>
          <w:szCs w:val="24"/>
        </w:rPr>
        <w:t>日内返还投资者已缴纳的款项，并加计银行同期活期存款利息</w:t>
      </w:r>
      <w:r w:rsidR="00C246F9">
        <w:rPr>
          <w:rFonts w:asciiTheme="minorEastAsia" w:eastAsiaTheme="minorEastAsia" w:hAnsiTheme="minorEastAsia" w:cs="宋体" w:hint="eastAsia"/>
          <w:kern w:val="0"/>
          <w:szCs w:val="24"/>
        </w:rPr>
        <w:t>（税后）</w:t>
      </w:r>
      <w:r w:rsidRPr="006F4D70">
        <w:rPr>
          <w:rFonts w:asciiTheme="minorEastAsia" w:eastAsiaTheme="minorEastAsia" w:hAnsiTheme="minorEastAsia" w:cs="宋体" w:hint="eastAsia"/>
          <w:kern w:val="0"/>
          <w:szCs w:val="24"/>
        </w:rPr>
        <w:t>；</w:t>
      </w:r>
    </w:p>
    <w:p w14:paraId="6D828F7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3、如基金募集失败，基金管理人、基金托管人及销售机构不得请求报酬。基金管理人、基金托管人和销售机构为基金募集支付之一切费用应由各方各自承担。</w:t>
      </w:r>
    </w:p>
    <w:p w14:paraId="44C60A5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三、基金存续期内的基金份额持有人数量和资产规模</w:t>
      </w:r>
    </w:p>
    <w:p w14:paraId="7C87843E" w14:textId="77777777" w:rsidR="00595296" w:rsidRPr="006F4D70" w:rsidRDefault="002B7F4D">
      <w:pPr>
        <w:autoSpaceDE w:val="0"/>
        <w:autoSpaceDN w:val="0"/>
        <w:adjustRightInd w:val="0"/>
        <w:ind w:firstLine="480"/>
        <w:rPr>
          <w:rFonts w:asciiTheme="minorEastAsia" w:eastAsiaTheme="minorEastAsia" w:hAnsiTheme="minorEastAsia"/>
        </w:rPr>
      </w:pPr>
      <w:r w:rsidRPr="006F4D70">
        <w:rPr>
          <w:rFonts w:asciiTheme="minorEastAsia" w:eastAsiaTheme="minorEastAsia" w:hAnsiTheme="minorEastAsia" w:cs="宋体" w:hint="eastAsia"/>
          <w:kern w:val="0"/>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w:t>
      </w:r>
      <w:r w:rsidRPr="006F4D70">
        <w:rPr>
          <w:rFonts w:asciiTheme="minorEastAsia" w:eastAsiaTheme="minorEastAsia" w:hAnsiTheme="minorEastAsia" w:hint="eastAsia"/>
          <w:kern w:val="0"/>
        </w:rPr>
        <w:t>，如持续运作、转换运作方式、与其他基金合并或者终止基金合同等，并在6个月内召集基金份额持有人大会</w:t>
      </w:r>
      <w:r w:rsidRPr="006F4D70">
        <w:rPr>
          <w:rFonts w:asciiTheme="minorEastAsia" w:eastAsiaTheme="minorEastAsia" w:hAnsiTheme="minorEastAsia" w:cs="宋体" w:hint="eastAsia"/>
          <w:kern w:val="0"/>
          <w:szCs w:val="24"/>
        </w:rPr>
        <w:t>。法律法规或中国证监会另有</w:t>
      </w:r>
      <w:r w:rsidRPr="006F4D70">
        <w:rPr>
          <w:rFonts w:asciiTheme="minorEastAsia" w:eastAsiaTheme="minorEastAsia" w:hAnsiTheme="minorEastAsia" w:cs="宋体" w:hint="eastAsia"/>
          <w:kern w:val="0"/>
          <w:szCs w:val="24"/>
        </w:rPr>
        <w:lastRenderedPageBreak/>
        <w:t>规定时，从其规定。</w:t>
      </w:r>
      <w:bookmarkStart w:id="81" w:name="_Toc1427"/>
      <w:bookmarkStart w:id="82" w:name="_Toc139991736"/>
      <w:bookmarkStart w:id="83" w:name="_Toc123112234"/>
      <w:bookmarkStart w:id="84" w:name="_Toc123051452"/>
      <w:bookmarkStart w:id="85" w:name="_Toc79392606"/>
      <w:bookmarkStart w:id="86" w:name="_Toc98560352"/>
      <w:bookmarkStart w:id="87" w:name="_Toc123102453"/>
      <w:bookmarkStart w:id="88" w:name="_Toc4003"/>
      <w:bookmarkStart w:id="89" w:name="_Toc20733"/>
      <w:bookmarkStart w:id="90" w:name="_Toc48649707"/>
      <w:bookmarkStart w:id="91" w:name="_Toc10463"/>
      <w:bookmarkStart w:id="92" w:name="_Toc17244"/>
      <w:bookmarkStart w:id="93" w:name="_Toc610"/>
      <w:bookmarkStart w:id="94" w:name="_Toc141703886"/>
      <w:bookmarkStart w:id="95" w:name="_Toc23261"/>
      <w:bookmarkStart w:id="96" w:name="_Toc7920"/>
      <w:bookmarkStart w:id="97" w:name="_Toc23822"/>
      <w:bookmarkStart w:id="98" w:name="_Toc11081"/>
      <w:bookmarkStart w:id="99" w:name="_Toc1270"/>
      <w:bookmarkEnd w:id="80"/>
      <w:r w:rsidRPr="006F4D70">
        <w:rPr>
          <w:rFonts w:asciiTheme="minorEastAsia" w:eastAsiaTheme="minorEastAsia" w:hAnsiTheme="minorEastAsia"/>
        </w:rPr>
        <w:br w:type="page"/>
      </w:r>
      <w:bookmarkStart w:id="100" w:name="_Toc377998621"/>
    </w:p>
    <w:p w14:paraId="75E93A27" w14:textId="77777777" w:rsidR="00595296" w:rsidRPr="006F4D70" w:rsidRDefault="002B7F4D">
      <w:pPr>
        <w:pStyle w:val="1"/>
        <w:ind w:firstLine="602"/>
        <w:rPr>
          <w:rFonts w:asciiTheme="minorEastAsia" w:eastAsiaTheme="minorEastAsia" w:hAnsiTheme="minorEastAsia"/>
        </w:rPr>
      </w:pPr>
      <w:bookmarkStart w:id="101" w:name="_Toc198902618"/>
      <w:bookmarkEnd w:id="100"/>
      <w:r w:rsidRPr="006F4D70">
        <w:rPr>
          <w:rFonts w:asciiTheme="minorEastAsia" w:eastAsiaTheme="minorEastAsia" w:hAnsiTheme="minorEastAsia" w:hint="eastAsia"/>
          <w:kern w:val="0"/>
        </w:rPr>
        <w:lastRenderedPageBreak/>
        <w:t>第六部分    基金份额的申购与赎回</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1"/>
    </w:p>
    <w:p w14:paraId="0F68DF49" w14:textId="77777777" w:rsidR="00595296" w:rsidRPr="006F4D70" w:rsidRDefault="002B7F4D">
      <w:pPr>
        <w:autoSpaceDE w:val="0"/>
        <w:autoSpaceDN w:val="0"/>
        <w:adjustRightInd w:val="0"/>
        <w:ind w:firstLine="482"/>
        <w:contextualSpacing/>
        <w:rPr>
          <w:rFonts w:asciiTheme="minorEastAsia" w:eastAsiaTheme="minorEastAsia" w:hAnsiTheme="minorEastAsia" w:cs="宋体"/>
          <w:b/>
          <w:kern w:val="0"/>
          <w:szCs w:val="24"/>
        </w:rPr>
      </w:pPr>
      <w:bookmarkStart w:id="102" w:name="OLE_LINK5"/>
      <w:r w:rsidRPr="006F4D70">
        <w:rPr>
          <w:rFonts w:asciiTheme="minorEastAsia" w:eastAsiaTheme="minorEastAsia" w:hAnsiTheme="minorEastAsia" w:cs="宋体" w:hint="eastAsia"/>
          <w:b/>
          <w:kern w:val="0"/>
          <w:szCs w:val="24"/>
        </w:rPr>
        <w:t>一、申购和赎回场所</w:t>
      </w:r>
    </w:p>
    <w:p w14:paraId="454AA36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申购与赎回将通过销售机构进行。具体的销售机构将在基金管理人网站披露的销售机构名录中列明。基金管理人可根据情况针对某类基金份额变更或增减销售机构，并在基金管理人网站公示。基金投资者应当在销售机构办理基金销售业务的营业场所或按销售机构提供的其他方式办理基金份额的申购与赎回。</w:t>
      </w:r>
    </w:p>
    <w:p w14:paraId="5B6B5C84"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二、申购和赎回的开放日及时间</w:t>
      </w:r>
    </w:p>
    <w:p w14:paraId="40C9135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1、开放日及开放时间</w:t>
      </w:r>
    </w:p>
    <w:p w14:paraId="7CF7ACD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投资人在开放日办理基金份额的申购和/或赎回，具体办理时间为上海证券交易所、深圳证券交易所的正常交易日的交易时间，若该交易日为非港股通交易日，则基金管理人有权决定本基金是否开放。此外，基金管理人可根据法律法规、中国证监会的要求或本基金合同的规定公告暂停申购、赎回。</w:t>
      </w:r>
    </w:p>
    <w:p w14:paraId="44AEDC2B" w14:textId="792EF4A2"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基金合同生效后，若出现新的证券、期货交易市场或证券、期货交易所交易时间变更</w:t>
      </w:r>
      <w:r w:rsidR="008E799C"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hint="eastAsia"/>
          <w:kern w:val="0"/>
          <w:szCs w:val="24"/>
        </w:rPr>
        <w:t>其他特殊情况或根据业务需要，基金管理人将视情况对前述开放日及开放时间进行相应的调整，但应在实施前依照《信息披露办法》的有关规定在规定媒介上公告。</w:t>
      </w:r>
    </w:p>
    <w:p w14:paraId="034147A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2、申购、赎回开始日及业务办理时间</w:t>
      </w:r>
    </w:p>
    <w:p w14:paraId="7A665F9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基金管理人将根据实际情况决定本基金开始办理申购的具体日期，具体业务办理时间在基金管理人的相关公告中规定。</w:t>
      </w:r>
    </w:p>
    <w:p w14:paraId="446E8EE8" w14:textId="77777777" w:rsidR="00595296" w:rsidRPr="006F4D70" w:rsidRDefault="002B7F4D">
      <w:pPr>
        <w:autoSpaceDE w:val="0"/>
        <w:autoSpaceDN w:val="0"/>
        <w:adjustRightInd w:val="0"/>
        <w:ind w:firstLine="480"/>
        <w:rPr>
          <w:rFonts w:asciiTheme="minorEastAsia" w:eastAsiaTheme="minorEastAsia" w:hAnsiTheme="minorEastAsia" w:cs="宋体"/>
          <w:kern w:val="0"/>
        </w:rPr>
      </w:pPr>
      <w:r w:rsidRPr="006F4D70">
        <w:rPr>
          <w:rFonts w:asciiTheme="minorEastAsia" w:eastAsiaTheme="minorEastAsia" w:hAnsiTheme="minorEastAsia" w:cs="宋体" w:hint="eastAsia"/>
          <w:kern w:val="0"/>
          <w:szCs w:val="24"/>
        </w:rPr>
        <w:t>基金管理人自基金合同生效之日起不超过3个月的时间内开始办理赎回，具体业务办理时间在赎回开始公告中规定。</w:t>
      </w:r>
    </w:p>
    <w:p w14:paraId="606D43B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在确定申购开始与赎回开始时间后，基金管理人应在申购、赎回开放日前依照《信息披露办法》的有关规定在规定媒介上公告申购与赎回的开始时间。</w:t>
      </w:r>
    </w:p>
    <w:p w14:paraId="5ACB400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4264657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lastRenderedPageBreak/>
        <w:t>三、申购与赎回的原则</w:t>
      </w:r>
    </w:p>
    <w:p w14:paraId="2095A26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、“未知价”原则，即申购、赎回价格以申请当日收市后计算的该类基金份额净值为基准进行计算；</w:t>
      </w:r>
    </w:p>
    <w:p w14:paraId="278351C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、“金额申购、份额赎回”原则，即申购以金额申请，赎回以份额申请；</w:t>
      </w:r>
    </w:p>
    <w:p w14:paraId="73E4563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、当日的申购与赎回申请可以在基金管理人规定的时间以内撤销；</w:t>
      </w:r>
    </w:p>
    <w:p w14:paraId="19CD6F67" w14:textId="4BEF00A8"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、赎回遵循“先进先出”原则，即按照基金份额持有人份额登记日期的先后次序进行顺序赎回，并确定所适用的赎回费率；</w:t>
      </w:r>
    </w:p>
    <w:p w14:paraId="7937850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、办理申购、赎回业务时，应当遵循基金份额持有人利益优先原则，确保投资者的合法权益不受损害并得到公平对待。</w:t>
      </w:r>
    </w:p>
    <w:p w14:paraId="61F749B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基金管理人可在法律法规允许且对基金份额持有人无实质性不利影响的前提下，对上述原则进行调整。基金管理人必须在新规则开始实施前按照《信息披露办法》的有关规定在规定媒介公告。</w:t>
      </w:r>
    </w:p>
    <w:p w14:paraId="66D4BC9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四、申购与赎回的程序</w:t>
      </w:r>
    </w:p>
    <w:p w14:paraId="0A53BA0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、申购和赎回的申请方式</w:t>
      </w:r>
    </w:p>
    <w:p w14:paraId="4914A23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投资人必须根据销售机构规定的程序，在开放日的具体业务办理时间内提出申购或赎回的申请。</w:t>
      </w:r>
    </w:p>
    <w:p w14:paraId="379F111C" w14:textId="77777777" w:rsidR="00595296" w:rsidRPr="006F4D70" w:rsidRDefault="002B7F4D">
      <w:pPr>
        <w:ind w:firstLine="480"/>
        <w:rPr>
          <w:rFonts w:asciiTheme="minorEastAsia" w:eastAsiaTheme="minorEastAsia" w:hAnsiTheme="minorEastAsia"/>
          <w:bCs/>
        </w:rPr>
      </w:pPr>
      <w:r w:rsidRPr="006F4D70">
        <w:rPr>
          <w:rFonts w:asciiTheme="minorEastAsia" w:eastAsiaTheme="minorEastAsia" w:hAnsiTheme="minorEastAsia" w:hint="eastAsia"/>
          <w:bCs/>
        </w:rPr>
        <w:t>基金份额持有人递交赎回申请时，其在销售机构必须有足够的基金份额余额。</w:t>
      </w:r>
    </w:p>
    <w:p w14:paraId="6C603ACF" w14:textId="77777777" w:rsidR="00595296" w:rsidRPr="006F4D70" w:rsidRDefault="002B7F4D">
      <w:pPr>
        <w:pStyle w:val="Default"/>
        <w:spacing w:line="360" w:lineRule="auto"/>
        <w:ind w:firstLineChars="200" w:firstLine="480"/>
        <w:jc w:val="both"/>
        <w:rPr>
          <w:rFonts w:asciiTheme="minorEastAsia" w:eastAsiaTheme="minorEastAsia" w:hAnsiTheme="minorEastAsia"/>
        </w:rPr>
      </w:pPr>
      <w:r w:rsidRPr="006F4D70">
        <w:rPr>
          <w:rFonts w:asciiTheme="minorEastAsia" w:eastAsiaTheme="minorEastAsia" w:hAnsiTheme="minorEastAsia" w:hint="eastAsia"/>
        </w:rPr>
        <w:t>2、申购和赎回的款项支付</w:t>
      </w:r>
    </w:p>
    <w:p w14:paraId="42BCF6A8" w14:textId="28789E79" w:rsidR="00595296" w:rsidRPr="006F4D70" w:rsidRDefault="002B7F4D">
      <w:pPr>
        <w:pStyle w:val="Default"/>
        <w:spacing w:line="360" w:lineRule="auto"/>
        <w:ind w:firstLineChars="200" w:firstLine="480"/>
        <w:jc w:val="both"/>
        <w:rPr>
          <w:rFonts w:asciiTheme="minorEastAsia" w:eastAsiaTheme="minorEastAsia" w:hAnsiTheme="minorEastAsia"/>
        </w:rPr>
      </w:pPr>
      <w:r w:rsidRPr="006F4D70">
        <w:rPr>
          <w:rFonts w:asciiTheme="minorEastAsia" w:eastAsiaTheme="minorEastAsia" w:hAnsiTheme="minorEastAsia" w:hint="eastAsia"/>
        </w:rPr>
        <w:t>投资人申购基金份额时，必须全额交付申购款项，</w:t>
      </w:r>
      <w:r w:rsidR="00AD611E" w:rsidRPr="00AD611E">
        <w:rPr>
          <w:rFonts w:asciiTheme="minorEastAsia" w:eastAsiaTheme="minorEastAsia" w:hAnsiTheme="minorEastAsia" w:hint="eastAsia"/>
        </w:rPr>
        <w:t>否则所提交的申购申请不成立。</w:t>
      </w:r>
      <w:r w:rsidRPr="006F4D70">
        <w:rPr>
          <w:rFonts w:asciiTheme="minorEastAsia" w:eastAsiaTheme="minorEastAsia" w:hAnsiTheme="minorEastAsia" w:hint="eastAsia"/>
        </w:rPr>
        <w:t>投资人全额交付申购款项，申购成立；基金份额登记机构确认基金份额时，申购生效。</w:t>
      </w:r>
    </w:p>
    <w:p w14:paraId="664F74C1" w14:textId="49AC5D1C" w:rsidR="00595296" w:rsidRPr="006F4D70" w:rsidRDefault="00E01AEB">
      <w:pPr>
        <w:pStyle w:val="Default"/>
        <w:spacing w:line="360" w:lineRule="auto"/>
        <w:ind w:firstLineChars="200" w:firstLine="480"/>
        <w:jc w:val="both"/>
        <w:rPr>
          <w:rFonts w:asciiTheme="minorEastAsia" w:eastAsiaTheme="minorEastAsia" w:hAnsiTheme="minorEastAsia"/>
        </w:rPr>
      </w:pPr>
      <w:r w:rsidRPr="00E01AEB">
        <w:rPr>
          <w:rFonts w:asciiTheme="minorEastAsia" w:eastAsiaTheme="minorEastAsia" w:hAnsiTheme="minorEastAsia"/>
        </w:rPr>
        <w:t>投资人在提交赎回申请时须持有足够的基金份额余额，否则所提交的赎回申请不成立。</w:t>
      </w:r>
      <w:r w:rsidR="002B7F4D" w:rsidRPr="006F4D70">
        <w:rPr>
          <w:rFonts w:asciiTheme="minorEastAsia" w:eastAsiaTheme="minorEastAsia" w:hAnsiTheme="minorEastAsia" w:hint="eastAsia"/>
        </w:rPr>
        <w:t>基金份额持有人递交赎回申请，赎回成立；基金份额登记机构确认赎回时，赎回生效。投资者赎回申请生效后，基金管理人将在T+7日(包括该日)内支付赎回款项。遇证券、期货交易所或交易市场数据传输延迟、通讯系统故障、银行数据交换系统故障、港股通交易系统或港股通资金交收规则限制或其他非基金管理人及基金托管人所能控制的因素影响业务处理流程时，赎回款项顺延至前述因素消失后的下一个工作日划出。在发生巨额赎回或本基金合同载明的其他暂停赎回或延缓支付赎回款项的情形时，款项的支付办法参照本基金合同有关条款</w:t>
      </w:r>
      <w:r w:rsidR="002B7F4D" w:rsidRPr="006F4D70">
        <w:rPr>
          <w:rFonts w:asciiTheme="minorEastAsia" w:eastAsiaTheme="minorEastAsia" w:hAnsiTheme="minorEastAsia" w:hint="eastAsia"/>
        </w:rPr>
        <w:lastRenderedPageBreak/>
        <w:t>处理。</w:t>
      </w:r>
    </w:p>
    <w:p w14:paraId="113EF54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3、申购和赎回申请的确认</w:t>
      </w:r>
    </w:p>
    <w:p w14:paraId="375413C9" w14:textId="67D8D5FC"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基金管理人应以交易时间结束前受理有效申购和赎回申请的当天作为申购或赎回申请日(T日)，在正常情况下，本基金登记机构在</w:t>
      </w:r>
      <w:r w:rsidRPr="006F4D70">
        <w:rPr>
          <w:rFonts w:asciiTheme="minorEastAsia" w:eastAsiaTheme="minorEastAsia" w:hAnsiTheme="minorEastAsia" w:cs="宋体"/>
          <w:kern w:val="0"/>
          <w:szCs w:val="24"/>
        </w:rPr>
        <w:t>T+1</w:t>
      </w:r>
      <w:r w:rsidRPr="006F4D70">
        <w:rPr>
          <w:rFonts w:asciiTheme="minorEastAsia" w:eastAsiaTheme="minorEastAsia" w:hAnsiTheme="minorEastAsia" w:cs="宋体" w:hint="eastAsia"/>
          <w:kern w:val="0"/>
          <w:szCs w:val="24"/>
        </w:rPr>
        <w:t>日内对该交易的有效性进行确认。T日提交的有效申请，投资人应在</w:t>
      </w:r>
      <w:r w:rsidRPr="006F4D70">
        <w:rPr>
          <w:rFonts w:asciiTheme="minorEastAsia" w:eastAsiaTheme="minorEastAsia" w:hAnsiTheme="minorEastAsia" w:cs="宋体"/>
          <w:kern w:val="0"/>
          <w:szCs w:val="24"/>
        </w:rPr>
        <w:t>T</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日后（包括该日）及时到销售网点柜台或以销售机构规定的其他方式查询申请的确认情况</w:t>
      </w:r>
      <w:r w:rsidRPr="006F4D70">
        <w:rPr>
          <w:rFonts w:asciiTheme="minorEastAsia" w:eastAsiaTheme="minorEastAsia" w:hAnsiTheme="minorEastAsia" w:hint="eastAsia"/>
          <w:sz w:val="23"/>
          <w:szCs w:val="23"/>
        </w:rPr>
        <w:t>，</w:t>
      </w:r>
      <w:r w:rsidRPr="006F4D70">
        <w:rPr>
          <w:rFonts w:asciiTheme="minorEastAsia" w:eastAsiaTheme="minorEastAsia" w:hAnsiTheme="minorEastAsia" w:cs="宋体" w:hint="eastAsia"/>
          <w:kern w:val="0"/>
          <w:szCs w:val="24"/>
        </w:rPr>
        <w:t>否则，如因申请未得到基金登记机构的确认而造成的损失，由投资者自行承担。若申购不成立或无效，则申购款项退还给投资人。</w:t>
      </w:r>
    </w:p>
    <w:p w14:paraId="2F87D6F2" w14:textId="2AF900BA"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基金销售机构对申购、赎回申请的受理并不代表该申请一定成功，而仅代表销售机构确实接收到申购、赎回申请。申购、赎回的确认以登记机构的确认结果为准。对于申请的确认情况，投资人应及时查询</w:t>
      </w:r>
      <w:r w:rsidRPr="006F4D70">
        <w:rPr>
          <w:rFonts w:asciiTheme="minorEastAsia" w:eastAsiaTheme="minorEastAsia" w:hAnsiTheme="minorEastAsia" w:cs="宋体" w:hint="eastAsia"/>
          <w:bCs/>
          <w:kern w:val="0"/>
          <w:szCs w:val="24"/>
        </w:rPr>
        <w:t>并妥善行使合法权利，否则，由此产生的投资人任何损失由投资人自行承担</w:t>
      </w:r>
      <w:r w:rsidRPr="006F4D70">
        <w:rPr>
          <w:rFonts w:asciiTheme="minorEastAsia" w:eastAsiaTheme="minorEastAsia" w:hAnsiTheme="minorEastAsia" w:cs="宋体" w:hint="eastAsia"/>
          <w:kern w:val="0"/>
          <w:szCs w:val="24"/>
        </w:rPr>
        <w:t>。</w:t>
      </w:r>
    </w:p>
    <w:p w14:paraId="094DBBFD" w14:textId="2D9DB54A"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基金管理人可在法律法规</w:t>
      </w:r>
      <w:r w:rsidR="00AD611E">
        <w:rPr>
          <w:rFonts w:asciiTheme="minorEastAsia" w:eastAsiaTheme="minorEastAsia" w:hAnsiTheme="minorEastAsia" w:cs="宋体" w:hint="eastAsia"/>
          <w:kern w:val="0"/>
          <w:szCs w:val="24"/>
        </w:rPr>
        <w:t>和基金合同</w:t>
      </w:r>
      <w:r w:rsidRPr="006F4D70">
        <w:rPr>
          <w:rFonts w:asciiTheme="minorEastAsia" w:eastAsiaTheme="minorEastAsia" w:hAnsiTheme="minorEastAsia" w:cs="宋体" w:hint="eastAsia"/>
          <w:kern w:val="0"/>
          <w:szCs w:val="24"/>
        </w:rPr>
        <w:t>允许且对基金份额持有人</w:t>
      </w:r>
      <w:r w:rsidR="00AD611E">
        <w:rPr>
          <w:rFonts w:asciiTheme="minorEastAsia" w:eastAsiaTheme="minorEastAsia" w:hAnsiTheme="minorEastAsia" w:cs="宋体" w:hint="eastAsia"/>
          <w:kern w:val="0"/>
          <w:szCs w:val="24"/>
        </w:rPr>
        <w:t>利益</w:t>
      </w:r>
      <w:r w:rsidRPr="006F4D70">
        <w:rPr>
          <w:rFonts w:asciiTheme="minorEastAsia" w:eastAsiaTheme="minorEastAsia" w:hAnsiTheme="minorEastAsia" w:cs="宋体" w:hint="eastAsia"/>
          <w:kern w:val="0"/>
          <w:szCs w:val="24"/>
        </w:rPr>
        <w:t>无实质性不利影响的前提下，对上述业务办理时间进行调整。基金管理人必须在</w:t>
      </w:r>
      <w:r w:rsidR="00AD611E">
        <w:rPr>
          <w:rFonts w:asciiTheme="minorEastAsia" w:eastAsiaTheme="minorEastAsia" w:hAnsiTheme="minorEastAsia" w:cs="宋体" w:hint="eastAsia"/>
          <w:kern w:val="0"/>
          <w:szCs w:val="24"/>
        </w:rPr>
        <w:t>调整</w:t>
      </w:r>
      <w:r w:rsidRPr="006F4D70">
        <w:rPr>
          <w:rFonts w:asciiTheme="minorEastAsia" w:eastAsiaTheme="minorEastAsia" w:hAnsiTheme="minorEastAsia" w:cs="宋体" w:hint="eastAsia"/>
          <w:kern w:val="0"/>
          <w:szCs w:val="24"/>
        </w:rPr>
        <w:t>开始实施前按照《信息披露办法》的有关规定在规定媒介公告。</w:t>
      </w:r>
    </w:p>
    <w:p w14:paraId="063183A0"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五、申购和赎回的数量限制</w:t>
      </w:r>
    </w:p>
    <w:p w14:paraId="349332C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、基金管理人可以规定投资人首次申购和每次申购的最低金额以及每次赎回的最低份额，具体规定请参见招募说明书或相关公告。</w:t>
      </w:r>
    </w:p>
    <w:p w14:paraId="0E0F786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、基金管理人可以规定投资人每个基金交易账户的最低基金份额余额，具体规定请参见招募说明书或相关公告。</w:t>
      </w:r>
    </w:p>
    <w:p w14:paraId="028AA9D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、基金管理人可以规定单个投资人累计持有的基金份额上限，具体规定请参见招募说明书或相关公告。</w:t>
      </w:r>
    </w:p>
    <w:p w14:paraId="1CA1525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 xml:space="preserve">4、基金管理人可以规定单一投资者单日或单笔申购金额上限，具体规定请参见招募说明书或相关公告。 </w:t>
      </w:r>
    </w:p>
    <w:p w14:paraId="73E10C9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5、基金管理人可以规定本基金的总规模限额、当日申购金额限制和单日净申购比例上限，具体规定请参见招募说明书或相关公告。</w:t>
      </w:r>
    </w:p>
    <w:p w14:paraId="1BAD72D9" w14:textId="333F3744"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6F4D70">
        <w:rPr>
          <w:rFonts w:asciiTheme="minorEastAsia" w:eastAsiaTheme="minorEastAsia" w:hAnsiTheme="minorEastAsia" w:cs="宋体" w:hint="eastAsia"/>
          <w:kern w:val="0"/>
          <w:szCs w:val="24"/>
        </w:rPr>
        <w:lastRenderedPageBreak/>
        <w:t>基金管理人基于投资运作与风险控制的需要，可采取上述措施对基金规模予以控制</w:t>
      </w:r>
      <w:r w:rsidRPr="006F4D70">
        <w:rPr>
          <w:rStyle w:val="afe"/>
          <w:rFonts w:asciiTheme="minorEastAsia" w:eastAsiaTheme="minorEastAsia" w:hAnsiTheme="minorEastAsia" w:hint="eastAsia"/>
          <w:kern w:val="0"/>
        </w:rPr>
        <w:t>。</w:t>
      </w:r>
      <w:r w:rsidRPr="006F4D70">
        <w:rPr>
          <w:rFonts w:asciiTheme="minorEastAsia" w:eastAsiaTheme="minorEastAsia" w:hAnsiTheme="minorEastAsia" w:cs="宋体" w:hint="eastAsia"/>
          <w:kern w:val="0"/>
          <w:szCs w:val="24"/>
        </w:rPr>
        <w:t>具体见基金管理人相关公告。</w:t>
      </w:r>
    </w:p>
    <w:p w14:paraId="681BAEE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7、基金管理人可在法律法规允许的情况下，调整上述对申购金额和赎回份额的数量限制，或者新增基金规模的控制措施。基金管理人应在调整实施前依照《信息披露办法》的有关规定在规定媒介上公告。</w:t>
      </w:r>
    </w:p>
    <w:p w14:paraId="09116CA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六、申购和赎回的价格、费用及其用途</w:t>
      </w:r>
    </w:p>
    <w:p w14:paraId="7C81CD87" w14:textId="46FBC39F"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、本基金各类基金份额净值的计算，均保留到小数点后4位，小数点后第5位四舍五入，由此产生的收益或损失由基金财产享有或承担。T日的各类基金份额净值在当天收市后计算，并</w:t>
      </w:r>
      <w:r w:rsidR="00E01AEB" w:rsidRPr="00E01AEB">
        <w:rPr>
          <w:rFonts w:asciiTheme="minorEastAsia" w:eastAsiaTheme="minorEastAsia" w:hAnsiTheme="minorEastAsia" w:cs="宋体"/>
          <w:kern w:val="0"/>
          <w:szCs w:val="24"/>
        </w:rPr>
        <w:t>按照基金合同约定</w:t>
      </w:r>
      <w:r w:rsidRPr="006F4D70">
        <w:rPr>
          <w:rFonts w:asciiTheme="minorEastAsia" w:eastAsiaTheme="minorEastAsia" w:hAnsiTheme="minorEastAsia" w:cs="宋体" w:hint="eastAsia"/>
          <w:kern w:val="0"/>
          <w:szCs w:val="24"/>
        </w:rPr>
        <w:t>公告。遇特殊情况，经履行适当程序，可以适当延迟计算或公告。</w:t>
      </w:r>
    </w:p>
    <w:p w14:paraId="1AB6C136" w14:textId="04960F40" w:rsidR="00595296" w:rsidRPr="006F4D70" w:rsidRDefault="002B7F4D">
      <w:pPr>
        <w:autoSpaceDE w:val="0"/>
        <w:autoSpaceDN w:val="0"/>
        <w:adjustRightInd w:val="0"/>
        <w:ind w:firstLine="480"/>
        <w:rPr>
          <w:rFonts w:asciiTheme="minorEastAsia" w:eastAsiaTheme="minorEastAsia" w:hAnsiTheme="minorEastAsia"/>
          <w:kern w:val="0"/>
          <w:szCs w:val="24"/>
        </w:rPr>
      </w:pPr>
      <w:r w:rsidRPr="006F4D70">
        <w:rPr>
          <w:rFonts w:asciiTheme="minorEastAsia" w:eastAsiaTheme="minorEastAsia" w:hAnsiTheme="minorEastAsia" w:cs="宋体" w:hint="eastAsia"/>
          <w:kern w:val="0"/>
          <w:szCs w:val="24"/>
        </w:rPr>
        <w:t>2、申购份额的计算及余额的处理方式：本基金申购份额的计算详见招募说明书。</w:t>
      </w:r>
      <w:r w:rsidR="0013564C" w:rsidRPr="0013564C">
        <w:rPr>
          <w:rFonts w:asciiTheme="minorEastAsia" w:eastAsiaTheme="minorEastAsia" w:hAnsiTheme="minorEastAsia" w:cs="宋体" w:hint="eastAsia"/>
          <w:kern w:val="0"/>
          <w:szCs w:val="24"/>
        </w:rPr>
        <w:t>通过基金管理人申购本基金基金份额的，不收取申购费、销售服务费。通过代销机构申购本基金基金份额的，</w:t>
      </w:r>
      <w:r w:rsidRPr="006F4D70">
        <w:rPr>
          <w:rFonts w:asciiTheme="minorEastAsia" w:eastAsiaTheme="minorEastAsia" w:hAnsiTheme="minorEastAsia" w:cs="宋体" w:hint="eastAsia"/>
          <w:kern w:val="0"/>
          <w:szCs w:val="24"/>
        </w:rPr>
        <w:t>A类基金份额的申购费率由基金管理人决定，并在招募说明书及基金产品资料概要中列示。申购的有效份额为净申购金额除以当日该类基金份额净值，有效份额单位为份，上述计算结果均</w:t>
      </w:r>
      <w:r w:rsidRPr="006F4D70">
        <w:rPr>
          <w:rFonts w:asciiTheme="minorEastAsia" w:eastAsiaTheme="minorEastAsia" w:hAnsiTheme="minorEastAsia" w:cs="宋体" w:hint="eastAsia"/>
          <w:bCs/>
          <w:kern w:val="0"/>
          <w:szCs w:val="24"/>
        </w:rPr>
        <w:t>按四舍五入方法，保留到小数点后2位</w:t>
      </w:r>
      <w:r w:rsidRPr="006F4D70">
        <w:rPr>
          <w:rFonts w:asciiTheme="minorEastAsia" w:eastAsiaTheme="minorEastAsia" w:hAnsiTheme="minorEastAsia" w:cs="宋体" w:hint="eastAsia"/>
          <w:kern w:val="0"/>
          <w:szCs w:val="24"/>
        </w:rPr>
        <w:t>，由此产生的收益或损失由基金财产享有或承担。</w:t>
      </w:r>
      <w:r w:rsidRPr="006F4D70">
        <w:rPr>
          <w:rFonts w:asciiTheme="minorEastAsia" w:eastAsiaTheme="minorEastAsia" w:hAnsiTheme="minorEastAsia" w:cs="宋体" w:hint="eastAsia"/>
          <w:bCs/>
          <w:kern w:val="0"/>
          <w:szCs w:val="24"/>
        </w:rPr>
        <w:t>C类基金份额不收取申购费用</w:t>
      </w:r>
      <w:r w:rsidRPr="006F4D70">
        <w:rPr>
          <w:rFonts w:asciiTheme="minorEastAsia" w:eastAsiaTheme="minorEastAsia" w:hAnsiTheme="minorEastAsia" w:hint="eastAsia"/>
          <w:kern w:val="0"/>
          <w:szCs w:val="24"/>
        </w:rPr>
        <w:t>。</w:t>
      </w:r>
    </w:p>
    <w:p w14:paraId="6DF1246C" w14:textId="2B574820"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3、赎回金额的计算及处理方式：</w:t>
      </w:r>
      <w:r w:rsidR="00AD611E" w:rsidRPr="00AD611E">
        <w:rPr>
          <w:rFonts w:asciiTheme="minorEastAsia" w:eastAsiaTheme="minorEastAsia" w:hAnsiTheme="minorEastAsia" w:cs="宋体" w:hint="eastAsia"/>
          <w:kern w:val="0"/>
          <w:szCs w:val="24"/>
        </w:rPr>
        <w:t>本基金基金份额的赎回费率由基金管理人决定，并在招募说明书及基金产品资料概要中列示。</w:t>
      </w:r>
      <w:r w:rsidRPr="006F4D70">
        <w:rPr>
          <w:rFonts w:asciiTheme="minorEastAsia" w:eastAsiaTheme="minorEastAsia" w:hAnsiTheme="minorEastAsia" w:cs="宋体" w:hint="eastAsia"/>
          <w:kern w:val="0"/>
          <w:szCs w:val="24"/>
        </w:rPr>
        <w:t>赎回金额为按实际确认的有效赎回份额乘以当日该类基金份额净值并扣除或加上相应的费用，赎回金额单位为元。上述计算结果均按四舍五入方法，保留到小数点后2位，由此产生的收益或损失由基金财产享有或承担。</w:t>
      </w:r>
      <w:r w:rsidR="0041350E" w:rsidRPr="0041350E">
        <w:rPr>
          <w:rFonts w:asciiTheme="minorEastAsia" w:eastAsiaTheme="minorEastAsia" w:hAnsiTheme="minorEastAsia" w:cs="宋体" w:hint="eastAsia"/>
          <w:kern w:val="0"/>
          <w:szCs w:val="24"/>
        </w:rPr>
        <w:t>本基金赎回金额的计算及处理方式在招募说明书中列示。</w:t>
      </w:r>
    </w:p>
    <w:p w14:paraId="53D0D620" w14:textId="1EDB1307" w:rsidR="0013564C" w:rsidRDefault="0013564C" w:rsidP="005B61FC">
      <w:pPr>
        <w:autoSpaceDE w:val="0"/>
        <w:autoSpaceDN w:val="0"/>
        <w:adjustRightInd w:val="0"/>
        <w:ind w:firstLine="480"/>
        <w:rPr>
          <w:rFonts w:asciiTheme="minorEastAsia" w:eastAsiaTheme="minorEastAsia" w:hAnsiTheme="minorEastAsia"/>
          <w:kern w:val="0"/>
          <w:szCs w:val="24"/>
        </w:rPr>
      </w:pPr>
      <w:r w:rsidRPr="0013564C">
        <w:rPr>
          <w:rFonts w:asciiTheme="minorEastAsia" w:eastAsiaTheme="minorEastAsia" w:hAnsiTheme="minorEastAsia" w:hint="eastAsia"/>
          <w:kern w:val="0"/>
          <w:szCs w:val="24"/>
        </w:rPr>
        <w:t>其中，对于投资人通过基金管理人认购</w:t>
      </w:r>
      <w:r w:rsidRPr="0013564C">
        <w:rPr>
          <w:rFonts w:asciiTheme="minorEastAsia" w:eastAsiaTheme="minorEastAsia" w:hAnsiTheme="minorEastAsia"/>
          <w:kern w:val="0"/>
          <w:szCs w:val="24"/>
        </w:rPr>
        <w:t>/申购的或者通过代销机构认购/申购且持续持有期限超过一年（即365天）的C类基金份额，直销计提的销售服务费和代销持有超过一年后计提的销售服务费将在投资者赎回相应基金份额或基金合同终止时随赎回款或清算款一并返还给投资者。</w:t>
      </w:r>
    </w:p>
    <w:p w14:paraId="4A929206" w14:textId="5FDA4689" w:rsidR="005B61FC" w:rsidRPr="006F4D70" w:rsidRDefault="005B61FC" w:rsidP="005B61FC">
      <w:pPr>
        <w:autoSpaceDE w:val="0"/>
        <w:autoSpaceDN w:val="0"/>
        <w:adjustRightInd w:val="0"/>
        <w:ind w:firstLine="480"/>
        <w:rPr>
          <w:rFonts w:asciiTheme="minorEastAsia" w:eastAsiaTheme="minorEastAsia" w:hAnsiTheme="minorEastAsia"/>
          <w:kern w:val="0"/>
          <w:szCs w:val="24"/>
        </w:rPr>
      </w:pPr>
      <w:r w:rsidRPr="006F4D70">
        <w:rPr>
          <w:rFonts w:asciiTheme="minorEastAsia" w:eastAsiaTheme="minorEastAsia" w:hAnsiTheme="minorEastAsia" w:hint="eastAsia"/>
          <w:kern w:val="0"/>
          <w:szCs w:val="24"/>
        </w:rPr>
        <w:t>由于本基金在计算</w:t>
      </w:r>
      <w:bookmarkStart w:id="103" w:name="_Hlk198192791"/>
      <w:r w:rsidR="007B783B" w:rsidRPr="006F4D70">
        <w:rPr>
          <w:rFonts w:asciiTheme="minorEastAsia" w:eastAsiaTheme="minorEastAsia" w:hAnsiTheme="minorEastAsia" w:hint="eastAsia"/>
          <w:kern w:val="0"/>
          <w:szCs w:val="24"/>
        </w:rPr>
        <w:t>各类</w:t>
      </w:r>
      <w:bookmarkEnd w:id="103"/>
      <w:r w:rsidRPr="006F4D70">
        <w:rPr>
          <w:rFonts w:asciiTheme="minorEastAsia" w:eastAsiaTheme="minorEastAsia" w:hAnsiTheme="minorEastAsia" w:hint="eastAsia"/>
          <w:kern w:val="0"/>
          <w:szCs w:val="24"/>
        </w:rPr>
        <w:t>基金份额净值时，按前一日基金资产净值的1.20%年费率计算管理费，该费率可能高于或低于不同投资者最终适用的管理费率。在基</w:t>
      </w:r>
      <w:r w:rsidRPr="006F4D70">
        <w:rPr>
          <w:rFonts w:asciiTheme="minorEastAsia" w:eastAsiaTheme="minorEastAsia" w:hAnsiTheme="minorEastAsia" w:hint="eastAsia"/>
          <w:kern w:val="0"/>
          <w:szCs w:val="24"/>
        </w:rPr>
        <w:lastRenderedPageBreak/>
        <w:t>金份额赎回、转出</w:t>
      </w:r>
      <w:r w:rsidR="005D5369" w:rsidRPr="005D5369">
        <w:rPr>
          <w:rFonts w:asciiTheme="minorEastAsia" w:eastAsiaTheme="minorEastAsia" w:hAnsiTheme="minorEastAsia" w:hint="eastAsia"/>
          <w:kern w:val="0"/>
          <w:szCs w:val="24"/>
        </w:rPr>
        <w:t>或基金合同终止的情形发生</w:t>
      </w:r>
      <w:r w:rsidRPr="006F4D70">
        <w:rPr>
          <w:rFonts w:asciiTheme="minorEastAsia" w:eastAsiaTheme="minorEastAsia" w:hAnsiTheme="minorEastAsia" w:hint="eastAsia"/>
          <w:kern w:val="0"/>
          <w:szCs w:val="24"/>
        </w:rPr>
        <w:t>时，基金投资者实际收到的赎回款项的金额可能与按披露的</w:t>
      </w:r>
      <w:r w:rsidR="007B783B" w:rsidRPr="006F4D70">
        <w:rPr>
          <w:rFonts w:asciiTheme="minorEastAsia" w:eastAsiaTheme="minorEastAsia" w:hAnsiTheme="minorEastAsia" w:hint="eastAsia"/>
          <w:kern w:val="0"/>
          <w:szCs w:val="24"/>
        </w:rPr>
        <w:t>该类</w:t>
      </w:r>
      <w:r w:rsidRPr="006F4D70">
        <w:rPr>
          <w:rFonts w:asciiTheme="minorEastAsia" w:eastAsiaTheme="minorEastAsia" w:hAnsiTheme="minorEastAsia" w:hint="eastAsia"/>
          <w:kern w:val="0"/>
          <w:szCs w:val="24"/>
        </w:rPr>
        <w:t>基金份额净值计算的结果存在差异。投资者的实际赎回金额以登记机构确认数据为准。</w:t>
      </w:r>
    </w:p>
    <w:p w14:paraId="570F2C0F" w14:textId="53287101"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w:t>
      </w:r>
      <w:r w:rsidR="00395CF7" w:rsidRPr="00395CF7">
        <w:rPr>
          <w:rFonts w:asciiTheme="minorEastAsia" w:eastAsiaTheme="minorEastAsia" w:hAnsiTheme="minorEastAsia" w:cs="宋体" w:hint="eastAsia"/>
          <w:kern w:val="0"/>
          <w:szCs w:val="24"/>
        </w:rPr>
        <w:t>通过代销机构申购</w:t>
      </w:r>
      <w:r w:rsidRPr="006F4D70">
        <w:rPr>
          <w:rFonts w:asciiTheme="minorEastAsia" w:eastAsiaTheme="minorEastAsia" w:hAnsiTheme="minorEastAsia" w:cs="宋体" w:hint="eastAsia"/>
          <w:bCs/>
          <w:kern w:val="0"/>
          <w:szCs w:val="24"/>
        </w:rPr>
        <w:t>本基金</w:t>
      </w:r>
      <w:r w:rsidR="00395CF7" w:rsidRPr="00344FAD">
        <w:rPr>
          <w:rFonts w:ascii="宋体" w:hAnsi="Calibri" w:cs="宋体" w:hint="eastAsia"/>
          <w:bCs/>
          <w:szCs w:val="24"/>
        </w:rPr>
        <w:t>基金份额的，</w:t>
      </w:r>
      <w:r w:rsidRPr="006F4D70">
        <w:rPr>
          <w:rFonts w:asciiTheme="minorEastAsia" w:eastAsiaTheme="minorEastAsia" w:hAnsiTheme="minorEastAsia" w:cs="宋体" w:hint="eastAsia"/>
          <w:bCs/>
          <w:kern w:val="0"/>
          <w:szCs w:val="24"/>
        </w:rPr>
        <w:t>A类基金份额的</w:t>
      </w:r>
      <w:r w:rsidRPr="006F4D70">
        <w:rPr>
          <w:rFonts w:asciiTheme="minorEastAsia" w:eastAsiaTheme="minorEastAsia" w:hAnsiTheme="minorEastAsia" w:cs="宋体" w:hint="eastAsia"/>
          <w:kern w:val="0"/>
          <w:szCs w:val="24"/>
        </w:rPr>
        <w:t>申购费用由</w:t>
      </w:r>
      <w:r w:rsidRPr="006F4D70">
        <w:rPr>
          <w:rFonts w:asciiTheme="minorEastAsia" w:eastAsiaTheme="minorEastAsia" w:hAnsiTheme="minorEastAsia" w:cs="宋体" w:hint="eastAsia"/>
          <w:bCs/>
          <w:kern w:val="0"/>
          <w:szCs w:val="24"/>
        </w:rPr>
        <w:t>申购A类基金份额的</w:t>
      </w:r>
      <w:r w:rsidRPr="006F4D70">
        <w:rPr>
          <w:rFonts w:asciiTheme="minorEastAsia" w:eastAsiaTheme="minorEastAsia" w:hAnsiTheme="minorEastAsia" w:cs="宋体" w:hint="eastAsia"/>
          <w:kern w:val="0"/>
          <w:szCs w:val="24"/>
        </w:rPr>
        <w:t xml:space="preserve">投资人承担，不列入基金财产，主要用于本基金的市场推广、销售等各项费用。 </w:t>
      </w:r>
    </w:p>
    <w:p w14:paraId="7C1A19C8" w14:textId="69F827C8"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w:t>
      </w:r>
      <w:r w:rsidRPr="006F4D70">
        <w:rPr>
          <w:rFonts w:asciiTheme="minorEastAsia" w:eastAsiaTheme="minorEastAsia" w:hAnsiTheme="minorEastAsia" w:cs="宋体"/>
          <w:kern w:val="0"/>
          <w:szCs w:val="24"/>
        </w:rPr>
        <w:t>赎回费用由赎回基金份额的基金份额持有人承担，</w:t>
      </w:r>
      <w:r w:rsidRPr="006F4D70">
        <w:rPr>
          <w:rFonts w:asciiTheme="minorEastAsia" w:eastAsiaTheme="minorEastAsia" w:hAnsiTheme="minorEastAsia" w:cs="宋体" w:hint="eastAsia"/>
          <w:kern w:val="0"/>
          <w:szCs w:val="24"/>
        </w:rPr>
        <w:t>在基金份额持有人赎回基金份额时收取，赎回费用全额计入基金财产。</w:t>
      </w:r>
    </w:p>
    <w:p w14:paraId="105C01CC" w14:textId="60F487D4"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w:t>
      </w:r>
      <w:r w:rsidRPr="006F4D70">
        <w:rPr>
          <w:rFonts w:asciiTheme="minorEastAsia" w:eastAsiaTheme="minorEastAsia" w:hAnsiTheme="minorEastAsia" w:cs="宋体"/>
          <w:kern w:val="0"/>
          <w:szCs w:val="24"/>
        </w:rPr>
        <w:t>本基金</w:t>
      </w:r>
      <w:r w:rsidR="00395CF7" w:rsidRPr="00344FAD">
        <w:rPr>
          <w:rFonts w:ascii="宋体" w:hAnsi="Calibri" w:cs="宋体" w:hint="eastAsia"/>
          <w:bCs/>
          <w:szCs w:val="24"/>
        </w:rPr>
        <w:t>通过代销机构销售</w:t>
      </w:r>
      <w:r w:rsidRPr="006F4D70">
        <w:rPr>
          <w:rFonts w:asciiTheme="minorEastAsia" w:eastAsiaTheme="minorEastAsia" w:hAnsiTheme="minorEastAsia" w:cs="宋体"/>
          <w:kern w:val="0"/>
          <w:szCs w:val="24"/>
        </w:rPr>
        <w:t>的申购费率、</w:t>
      </w:r>
      <w:r w:rsidR="00395CF7">
        <w:rPr>
          <w:rFonts w:ascii="宋体" w:hAnsi="Calibri" w:cs="宋体" w:hint="eastAsia"/>
          <w:szCs w:val="24"/>
        </w:rPr>
        <w:t>本基金</w:t>
      </w:r>
      <w:r w:rsidRPr="006F4D70">
        <w:rPr>
          <w:rFonts w:asciiTheme="minorEastAsia" w:eastAsiaTheme="minorEastAsia" w:hAnsiTheme="minorEastAsia" w:cs="宋体"/>
          <w:kern w:val="0"/>
          <w:szCs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4BDB791" w14:textId="77777777" w:rsidR="00595296" w:rsidRPr="006F4D70" w:rsidRDefault="002B7F4D">
      <w:pPr>
        <w:shd w:val="clear" w:color="auto" w:fill="FFFFFF"/>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当本基金发生大额申购或赎回情形时，基金管理人可以采用摆动定价机制，以确保基金估值的公平性，并履行相关信息披露义务。摆动定价机制的具体处理原则与操作规范遵循相关法律法规以及监管部门、自律组织的规定，具体见基金管理人届时的相关公告。</w:t>
      </w:r>
    </w:p>
    <w:p w14:paraId="6D3801F3" w14:textId="7D5187C4" w:rsidR="00595296" w:rsidRPr="006F4D70" w:rsidRDefault="002B7F4D">
      <w:pPr>
        <w:shd w:val="clear" w:color="auto" w:fill="FFFFFF"/>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8、基金管理人可以在不违反法律法规规定及基金合同约定且对基金份额持有人利益无实质性不利影响的情形下根据市场情况制定基金促销计划，针对投资人定期或不定期地开展基金促销活动。在基金促销活动期间，按相关监管部门要求履行必要手续后（如需），基金管理人及销售机构可以适当开展本基金</w:t>
      </w:r>
      <w:r w:rsidR="00395CF7">
        <w:rPr>
          <w:rFonts w:ascii="宋体" w:hAnsi="Calibri" w:cs="宋体" w:hint="eastAsia"/>
          <w:szCs w:val="24"/>
        </w:rPr>
        <w:t>申购费率、</w:t>
      </w:r>
      <w:r w:rsidRPr="006F4D70">
        <w:rPr>
          <w:rFonts w:asciiTheme="minorEastAsia" w:eastAsiaTheme="minorEastAsia" w:hAnsiTheme="minorEastAsia" w:cs="宋体" w:hint="eastAsia"/>
          <w:kern w:val="0"/>
          <w:szCs w:val="24"/>
        </w:rPr>
        <w:t>销售</w:t>
      </w:r>
      <w:r w:rsidR="00395CF7">
        <w:rPr>
          <w:rFonts w:ascii="宋体" w:hAnsi="Calibri" w:cs="宋体" w:hint="eastAsia"/>
          <w:szCs w:val="24"/>
        </w:rPr>
        <w:t>服务</w:t>
      </w:r>
      <w:r w:rsidRPr="006F4D70">
        <w:rPr>
          <w:rFonts w:asciiTheme="minorEastAsia" w:eastAsiaTheme="minorEastAsia" w:hAnsiTheme="minorEastAsia" w:cs="宋体" w:hint="eastAsia"/>
          <w:kern w:val="0"/>
          <w:szCs w:val="24"/>
        </w:rPr>
        <w:t>费率的优惠活动。</w:t>
      </w:r>
    </w:p>
    <w:p w14:paraId="18AFC40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七、拒绝或暂停申购的情形</w:t>
      </w:r>
    </w:p>
    <w:p w14:paraId="2A00516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发生下列情况时，基金管理人可拒绝或暂停接受投资人的申购申请：</w:t>
      </w:r>
    </w:p>
    <w:p w14:paraId="693ED45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1、因不可抗力导致基金无法正常运作。</w:t>
      </w:r>
    </w:p>
    <w:p w14:paraId="2A65399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2、发生基金合同规定的暂停基金资产估值情况时，基金管理人可暂停或拒绝接受投资人的申购申请。</w:t>
      </w:r>
    </w:p>
    <w:p w14:paraId="085E4459" w14:textId="24EA01DC"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3、证券、期货交易场所</w:t>
      </w:r>
      <w:r w:rsidR="00E01AEB" w:rsidRPr="00E01AEB">
        <w:rPr>
          <w:rFonts w:asciiTheme="minorEastAsia" w:eastAsiaTheme="minorEastAsia" w:hAnsiTheme="minorEastAsia" w:cs="宋体" w:hint="eastAsia"/>
          <w:kern w:val="0"/>
          <w:szCs w:val="24"/>
        </w:rPr>
        <w:t>或外汇市场</w:t>
      </w:r>
      <w:r w:rsidRPr="006F4D70">
        <w:rPr>
          <w:rFonts w:asciiTheme="minorEastAsia" w:eastAsiaTheme="minorEastAsia" w:hAnsiTheme="minorEastAsia" w:cs="宋体" w:hint="eastAsia"/>
          <w:kern w:val="0"/>
          <w:szCs w:val="24"/>
        </w:rPr>
        <w:t>在交易时间非正常停市，导致基金管理人无法计算当日基金资产净值。</w:t>
      </w:r>
    </w:p>
    <w:p w14:paraId="2370C78D" w14:textId="33E713B4"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104" w:name="_Hlt70481650"/>
      <w:bookmarkEnd w:id="104"/>
      <w:r w:rsidRPr="006F4D70">
        <w:rPr>
          <w:rFonts w:asciiTheme="minorEastAsia" w:eastAsiaTheme="minorEastAsia" w:hAnsiTheme="minorEastAsia" w:cs="宋体" w:hint="eastAsia"/>
          <w:kern w:val="0"/>
          <w:szCs w:val="24"/>
        </w:rPr>
        <w:lastRenderedPageBreak/>
        <w:t>4、</w:t>
      </w:r>
      <w:r w:rsidR="00AD611E" w:rsidRPr="00AD611E">
        <w:rPr>
          <w:rFonts w:asciiTheme="minorEastAsia" w:eastAsiaTheme="minorEastAsia" w:hAnsiTheme="minorEastAsia" w:cs="宋体" w:hint="eastAsia"/>
          <w:kern w:val="0"/>
          <w:szCs w:val="24"/>
        </w:rPr>
        <w:t>基金管理人</w:t>
      </w:r>
      <w:r w:rsidRPr="006F4D70">
        <w:rPr>
          <w:rFonts w:asciiTheme="minorEastAsia" w:eastAsiaTheme="minorEastAsia" w:hAnsiTheme="minorEastAsia" w:cs="宋体" w:hint="eastAsia"/>
          <w:kern w:val="0"/>
          <w:szCs w:val="24"/>
        </w:rPr>
        <w:t>接受某笔或某些申购申请可能会影响或损害现有基金份额持有人利益时。</w:t>
      </w:r>
    </w:p>
    <w:p w14:paraId="38A42F0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5、基金资产规模过大，使基金管理人无法找到合适的投资品种，或其他可能对基金业绩产生负面影响，或发生其他损害现有基金份额持有人利益的情形。</w:t>
      </w:r>
    </w:p>
    <w:p w14:paraId="0DAE2D3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6E08630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7、基金管理人接受某笔或者某些申购申请有可能导致单一投资者持有基金份额的比例达到或者超过50%，或者变相规避50%集中度的情形时，基金管理人有权对该等申购申请进行部分确认或拒绝接受该等申购申请。</w:t>
      </w:r>
    </w:p>
    <w:p w14:paraId="52CAEBAA" w14:textId="1640A9EF"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8、基金管理人、基金托管人、基金销售机构或登记机构因技术故障</w:t>
      </w:r>
      <w:r w:rsidR="00AD611E">
        <w:rPr>
          <w:rFonts w:asciiTheme="minorEastAsia" w:eastAsiaTheme="minorEastAsia" w:hAnsiTheme="minorEastAsia" w:cs="宋体" w:hint="eastAsia"/>
          <w:kern w:val="0"/>
          <w:szCs w:val="24"/>
        </w:rPr>
        <w:t>等</w:t>
      </w:r>
      <w:r w:rsidRPr="006F4D70">
        <w:rPr>
          <w:rFonts w:asciiTheme="minorEastAsia" w:eastAsiaTheme="minorEastAsia" w:hAnsiTheme="minorEastAsia" w:cs="宋体" w:hint="eastAsia"/>
          <w:kern w:val="0"/>
          <w:szCs w:val="24"/>
        </w:rPr>
        <w:t>异常情况导致基金销售系统或基金登记系统或基金会计系统无法正常运行。</w:t>
      </w:r>
    </w:p>
    <w:p w14:paraId="4DBFAB8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9、基金管理人接受某笔或者某些申购申请有可能导致超过基金管理人设定的基金总规模、单日净申购比例上限、单一投资人单日或单笔申购金额上限，基金管理人有权对该等申购申请进行部分确认或拒绝接受该等申购申请。</w:t>
      </w:r>
    </w:p>
    <w:p w14:paraId="4D25356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w:t>
      </w:r>
      <w:r w:rsidRPr="006F4D70">
        <w:rPr>
          <w:rFonts w:asciiTheme="minorEastAsia" w:eastAsiaTheme="minorEastAsia" w:hAnsiTheme="minorEastAsia" w:cs="宋体"/>
          <w:kern w:val="0"/>
          <w:szCs w:val="24"/>
        </w:rPr>
        <w:t>0</w:t>
      </w:r>
      <w:r w:rsidRPr="006F4D70">
        <w:rPr>
          <w:rFonts w:asciiTheme="minorEastAsia" w:eastAsiaTheme="minorEastAsia" w:hAnsiTheme="minorEastAsia" w:cs="宋体" w:hint="eastAsia"/>
          <w:kern w:val="0"/>
          <w:szCs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277EDA4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、法律法规规定或中国证监会认定的其他情形。</w:t>
      </w:r>
    </w:p>
    <w:p w14:paraId="4888CD8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发生上述第1、2、3、5、6、8、10、1</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项暂停申购情形之一且基金管理人决定暂停接受投资人申购申请时，基金管理人应当根据有关规定在规定媒介上刊登暂停申购公告。</w:t>
      </w:r>
      <w:r w:rsidRPr="006F4D70">
        <w:rPr>
          <w:rFonts w:asciiTheme="minorEastAsia" w:eastAsiaTheme="minorEastAsia" w:hAnsiTheme="minorEastAsia" w:cs="宋体"/>
          <w:kern w:val="0"/>
          <w:szCs w:val="24"/>
        </w:rPr>
        <w:t>如果投资人的申购申请被全部或部分拒绝的，被拒绝的申购款项将退还给投资人。</w:t>
      </w:r>
      <w:r w:rsidRPr="006F4D70">
        <w:rPr>
          <w:rFonts w:asciiTheme="minorEastAsia" w:eastAsiaTheme="minorEastAsia" w:hAnsiTheme="minorEastAsia" w:cs="宋体" w:hint="eastAsia"/>
          <w:kern w:val="0"/>
          <w:szCs w:val="24"/>
        </w:rPr>
        <w:t>在暂停申购的情况消除时，基金管理人应及时恢复申购业务的办理。</w:t>
      </w:r>
    </w:p>
    <w:p w14:paraId="434197EC"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八、暂停赎回或延缓支付赎回款项的情形</w:t>
      </w:r>
    </w:p>
    <w:p w14:paraId="466E177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发生下列情形时，基金管理人可暂停接受投资人的赎回申请或延缓支付赎回款项：</w:t>
      </w:r>
    </w:p>
    <w:p w14:paraId="08863AA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1、因不可抗力导致基金管理人不能支付赎回款项。</w:t>
      </w:r>
    </w:p>
    <w:p w14:paraId="20858C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2、发生基金合同规定的暂停基金资产估值情况时，基金管理人可暂停接受投资人的赎回申请或延缓支付赎回款项。</w:t>
      </w:r>
    </w:p>
    <w:p w14:paraId="3E5FCDA7" w14:textId="5FE272A4"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3、证券、期货交易场所</w:t>
      </w:r>
      <w:r w:rsidR="00E01AEB" w:rsidRPr="00E01AEB">
        <w:rPr>
          <w:rFonts w:asciiTheme="minorEastAsia" w:eastAsiaTheme="minorEastAsia" w:hAnsiTheme="minorEastAsia" w:cs="宋体" w:hint="eastAsia"/>
          <w:kern w:val="0"/>
          <w:szCs w:val="24"/>
        </w:rPr>
        <w:t>或外汇市场</w:t>
      </w:r>
      <w:r w:rsidRPr="006F4D70">
        <w:rPr>
          <w:rFonts w:asciiTheme="minorEastAsia" w:eastAsiaTheme="minorEastAsia" w:hAnsiTheme="minorEastAsia" w:cs="宋体" w:hint="eastAsia"/>
          <w:kern w:val="0"/>
          <w:szCs w:val="24"/>
        </w:rPr>
        <w:t>交易时间非正常停市，导致基金管理人无法计算当日基金资产</w:t>
      </w:r>
      <w:bookmarkStart w:id="105" w:name="_Hlt152500890"/>
      <w:r w:rsidRPr="006F4D70">
        <w:rPr>
          <w:rFonts w:asciiTheme="minorEastAsia" w:eastAsiaTheme="minorEastAsia" w:hAnsiTheme="minorEastAsia" w:cs="宋体" w:hint="eastAsia"/>
          <w:kern w:val="0"/>
          <w:szCs w:val="24"/>
        </w:rPr>
        <w:t>净值。</w:t>
      </w:r>
    </w:p>
    <w:bookmarkEnd w:id="105"/>
    <w:p w14:paraId="7C614CB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4、连续两个或两个以上开放日发生巨额赎回。</w:t>
      </w:r>
    </w:p>
    <w:p w14:paraId="3BC8180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5、发生继续接受赎回申请将损害现有基金份额持有人利益的情形时，基金管理人可暂停接受基金份额持有人的赎回申请。</w:t>
      </w:r>
    </w:p>
    <w:p w14:paraId="064E12B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7C30D85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7、法律法规规定或中国证监会认定的其他情形。</w:t>
      </w:r>
    </w:p>
    <w:p w14:paraId="78E83D9F" w14:textId="49C3E554"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发生上述情形之一且基金管理人决定暂停接受赎回申请或延缓支付赎回款项时，基金管理人应</w:t>
      </w:r>
      <w:r w:rsidR="00F71159" w:rsidRPr="00F71159">
        <w:rPr>
          <w:rFonts w:asciiTheme="minorEastAsia" w:eastAsiaTheme="minorEastAsia" w:hAnsiTheme="minorEastAsia" w:cs="宋体" w:hint="eastAsia"/>
          <w:kern w:val="0"/>
          <w:szCs w:val="24"/>
        </w:rPr>
        <w:t>按规定</w:t>
      </w:r>
      <w:r w:rsidRPr="006F4D70">
        <w:rPr>
          <w:rFonts w:asciiTheme="minorEastAsia" w:eastAsiaTheme="minorEastAsia" w:hAnsiTheme="minorEastAsia" w:cs="宋体" w:hint="eastAsia"/>
          <w:kern w:val="0"/>
          <w:szCs w:val="24"/>
        </w:rPr>
        <w:t>报中国证监会备案，并根据有关规定在规定媒介上刊登暂停赎回公告。已确认的赎回申请，基金管理人应足额支付；如暂时不能足额支付，应将可支付部分按单个账户申请量占申请总量的比例分配给赎回申请人，未支付部分可延缓支付。若出现上述第4项所述情形，按基金合同的相关条款处理。基金份额持有人在申请赎回时可事先选择将当日可能未获受理部分予以撤销。在暂停赎回的情况消除时，基金管理人应及时恢复赎回业务的办理，并依照有关规定在规定媒介上公告。</w:t>
      </w:r>
    </w:p>
    <w:p w14:paraId="0090E9A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九、巨额赎回的情形及处理方式</w:t>
      </w:r>
    </w:p>
    <w:p w14:paraId="525FC2D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、巨额赎回的认定</w:t>
      </w:r>
    </w:p>
    <w:p w14:paraId="3EC2ADE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若本基金单个开放日内的基金份额净赎回申请（赎回申请份额总数加上基金转换中转出申请份额总数后扣除申购申请份额总数及基金转换中转入申请份额总数后的余额）超过上一工作日基金总份额的10</w:t>
      </w:r>
      <w:r w:rsidRPr="006F4D70">
        <w:rPr>
          <w:rFonts w:asciiTheme="minorEastAsia" w:eastAsiaTheme="minorEastAsia" w:hAnsiTheme="minorEastAsia" w:cs="宋体"/>
          <w:kern w:val="0"/>
          <w:szCs w:val="24"/>
        </w:rPr>
        <w:t>%</w:t>
      </w:r>
      <w:r w:rsidRPr="006F4D70">
        <w:rPr>
          <w:rFonts w:asciiTheme="minorEastAsia" w:eastAsiaTheme="minorEastAsia" w:hAnsiTheme="minorEastAsia" w:cs="宋体" w:hint="eastAsia"/>
          <w:kern w:val="0"/>
          <w:szCs w:val="24"/>
        </w:rPr>
        <w:t>时，即认为是发生了巨额赎回。</w:t>
      </w:r>
    </w:p>
    <w:p w14:paraId="4D95C57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、巨额赎回的处理方式</w:t>
      </w:r>
    </w:p>
    <w:p w14:paraId="05C5449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当基金出现巨额赎回时，基金管理人可以根据基金当时的资产组合状况决定全额赎回、延缓支付赎回款项、部分延期赎回或暂停赎回。</w:t>
      </w:r>
    </w:p>
    <w:p w14:paraId="7BE43C7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）全额赎回：当基金管理人认为有能力支付投资人的全部赎回申请时，按正常赎回程序执行。</w:t>
      </w:r>
    </w:p>
    <w:p w14:paraId="7DEFF671" w14:textId="401AD0B5"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w:t>
      </w:r>
      <w:r w:rsidR="00F71159" w:rsidRPr="00F71159">
        <w:rPr>
          <w:rFonts w:asciiTheme="minorEastAsia" w:eastAsiaTheme="minorEastAsia" w:hAnsiTheme="minorEastAsia" w:cs="宋体" w:hint="eastAsia"/>
          <w:kern w:val="0"/>
          <w:szCs w:val="24"/>
        </w:rPr>
        <w:t>如投资人在提交赎回申请时未作明确选择，投资人未能赎回部分作自动延期赎回处理。部分延期赎回不受单笔赎回最低份额的限制。</w:t>
      </w:r>
    </w:p>
    <w:p w14:paraId="79CE58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3</w:t>
      </w: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hint="eastAsia"/>
          <w:kern w:val="0"/>
          <w:szCs w:val="24"/>
        </w:rPr>
        <w:t>发生巨额赎回，</w:t>
      </w:r>
      <w:r w:rsidRPr="006F4D70">
        <w:rPr>
          <w:rFonts w:asciiTheme="minorEastAsia" w:eastAsiaTheme="minorEastAsia" w:hAnsiTheme="minorEastAsia" w:cs="宋体" w:hint="eastAsia"/>
          <w:bCs/>
          <w:kern w:val="0"/>
          <w:szCs w:val="24"/>
        </w:rPr>
        <w:t>且单个基金份额持有人赎回申请超过上一工作日基金总份额</w:t>
      </w:r>
      <w:r w:rsidRPr="006F4D70">
        <w:rPr>
          <w:rFonts w:asciiTheme="minorEastAsia" w:eastAsiaTheme="minorEastAsia" w:hAnsiTheme="minorEastAsia" w:cs="宋体"/>
          <w:bCs/>
          <w:kern w:val="0"/>
          <w:szCs w:val="24"/>
        </w:rPr>
        <w:t>30%</w:t>
      </w:r>
      <w:r w:rsidRPr="006F4D70">
        <w:rPr>
          <w:rFonts w:asciiTheme="minorEastAsia" w:eastAsiaTheme="minorEastAsia" w:hAnsiTheme="minorEastAsia" w:cs="宋体" w:hint="eastAsia"/>
          <w:bCs/>
          <w:kern w:val="0"/>
          <w:szCs w:val="24"/>
        </w:rPr>
        <w:t>的情形下，对单个基金份额持有人超过上一工作日基金总份额30%的赎回申请，基金管理人可以延期办理赎回。</w:t>
      </w:r>
      <w:r w:rsidRPr="006F4D70">
        <w:rPr>
          <w:rFonts w:asciiTheme="minorEastAsia" w:eastAsiaTheme="minorEastAsia" w:hAnsiTheme="minorEastAsia" w:cs="宋体" w:hint="eastAsia"/>
          <w:kern w:val="0"/>
          <w:szCs w:val="24"/>
        </w:rPr>
        <w:t>对单个基金份额持有人30%以内（含30%）的赎回申请按普通基金份额持有人（即其他赎回申请未超过上一工作日基金总份额30%的基金份额持有人）赎回程序（包括巨额赎回）办理，对该单个基金份额持有人超过30%的赎回申请可以进行延期办理。对于未能赎回部分，该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w:t>
      </w:r>
    </w:p>
    <w:p w14:paraId="7C1A357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基金管理人在履行适当程序后，有权根据当时市场环境调整前述比例及处理规则，并在规定媒介上进行公告。</w:t>
      </w:r>
    </w:p>
    <w:p w14:paraId="148275E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BF18D4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3、巨额赎回的公告</w:t>
      </w:r>
    </w:p>
    <w:p w14:paraId="2CC6F59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当发生上述巨额赎回并采取相关措施时，基金管理人应当通过邮寄、传真或</w:t>
      </w:r>
      <w:r w:rsidRPr="006F4D70">
        <w:rPr>
          <w:rFonts w:asciiTheme="minorEastAsia" w:eastAsiaTheme="minorEastAsia" w:hAnsiTheme="minorEastAsia" w:cs="宋体" w:hint="eastAsia"/>
          <w:kern w:val="0"/>
          <w:szCs w:val="24"/>
        </w:rPr>
        <w:lastRenderedPageBreak/>
        <w:t>者招募说明书规定的其他方式在3个交易日内通知基金份额持有人，说明有关处理方法，</w:t>
      </w:r>
      <w:r w:rsidRPr="006F4D70">
        <w:rPr>
          <w:rFonts w:asciiTheme="minorEastAsia" w:eastAsiaTheme="minorEastAsia" w:hAnsiTheme="minorEastAsia" w:hint="eastAsia"/>
          <w:kern w:val="0"/>
          <w:szCs w:val="24"/>
        </w:rPr>
        <w:t>并在两日内</w:t>
      </w:r>
      <w:r w:rsidRPr="006F4D70">
        <w:rPr>
          <w:rFonts w:asciiTheme="minorEastAsia" w:eastAsiaTheme="minorEastAsia" w:hAnsiTheme="minorEastAsia" w:cs="宋体" w:hint="eastAsia"/>
          <w:kern w:val="0"/>
          <w:szCs w:val="24"/>
        </w:rPr>
        <w:t>在规定媒介上刊登公告。</w:t>
      </w:r>
    </w:p>
    <w:p w14:paraId="67C8EFFB"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十、暂停申购或赎回的公告和重新开放申购或赎回的公告</w:t>
      </w:r>
    </w:p>
    <w:p w14:paraId="22AB64A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1、发生上述暂停申购或赎回情况的，基金管理人应在规定期限内在规定媒介上刊登暂停公告。</w:t>
      </w:r>
    </w:p>
    <w:p w14:paraId="24400BF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2、基金管理人应于恢复开放申购或赎回日前，在规定媒介上刊登基金恢复开放申购或赎回公告，并公布最近</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个工作日各类基金份额的基金份额净值。</w:t>
      </w:r>
    </w:p>
    <w:p w14:paraId="4816F0C5"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十一、基金的转换</w:t>
      </w:r>
    </w:p>
    <w:p w14:paraId="331F95B3" w14:textId="7B41A77F"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5DBECF9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十二、基金的非交易过户</w:t>
      </w:r>
    </w:p>
    <w:p w14:paraId="7C2EAC5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的非交易过户是指基金登记机构受理继承、离婚、捐赠、法人资格丧失和司法强制执行等情形而产生的非交易过户以及登记机构认可、符合法律法规的其它非交易过户。无论在上述何种情况下，接受划转的主体必须是依法可以持有本基金基金份额的投资人。</w:t>
      </w:r>
    </w:p>
    <w:p w14:paraId="259699A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继承是指基金份额持有人死亡，其持有的基金份额由其合法的继承人继承；捐赠是指基金份额持有人将其合法持有的基金份额捐赠给福利性质的基金会或社会团体；法人资格丧失是指法人股东因解散、破产、合并、分立、歇业、注销等原因，在法人资格丧失后将其持有的基金份额划转给其他自然人或机构；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D91E59A"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十三、基金的转托管</w:t>
      </w:r>
    </w:p>
    <w:p w14:paraId="01220C6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基金份额持有人可办理已持有基金份额在不同销售机构之间的转托管，基金销售机构可以按照规定的标准收取转托管费。</w:t>
      </w:r>
    </w:p>
    <w:p w14:paraId="12439661"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十四、定期定额投资计划</w:t>
      </w:r>
    </w:p>
    <w:p w14:paraId="45ECC67B"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787275A" w14:textId="0CEF575C"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十五、基金份额的冻结</w:t>
      </w:r>
      <w:r w:rsidR="00A44EB7">
        <w:rPr>
          <w:rFonts w:asciiTheme="minorEastAsia" w:eastAsiaTheme="minorEastAsia" w:hAnsiTheme="minorEastAsia" w:cs="宋体" w:hint="eastAsia"/>
          <w:b/>
          <w:bCs/>
          <w:kern w:val="0"/>
          <w:szCs w:val="24"/>
        </w:rPr>
        <w:t>、</w:t>
      </w:r>
      <w:r w:rsidRPr="006F4D70">
        <w:rPr>
          <w:rFonts w:asciiTheme="minorEastAsia" w:eastAsiaTheme="minorEastAsia" w:hAnsiTheme="minorEastAsia" w:cs="宋体" w:hint="eastAsia"/>
          <w:b/>
          <w:bCs/>
          <w:kern w:val="0"/>
          <w:szCs w:val="24"/>
        </w:rPr>
        <w:t>解冻</w:t>
      </w:r>
      <w:r w:rsidR="00B44B43">
        <w:rPr>
          <w:rFonts w:asciiTheme="minorEastAsia" w:eastAsiaTheme="minorEastAsia" w:hAnsiTheme="minorEastAsia" w:cs="宋体" w:hint="eastAsia"/>
          <w:b/>
          <w:bCs/>
          <w:kern w:val="0"/>
          <w:szCs w:val="24"/>
        </w:rPr>
        <w:t>、</w:t>
      </w:r>
      <w:r w:rsidR="00A44EB7" w:rsidRPr="00A44EB7">
        <w:rPr>
          <w:rFonts w:asciiTheme="minorEastAsia" w:eastAsiaTheme="minorEastAsia" w:hAnsiTheme="minorEastAsia" w:cs="宋体" w:hint="eastAsia"/>
          <w:b/>
          <w:bCs/>
          <w:kern w:val="0"/>
          <w:szCs w:val="24"/>
        </w:rPr>
        <w:t>质押</w:t>
      </w:r>
      <w:r w:rsidR="00B44B43">
        <w:rPr>
          <w:rFonts w:asciiTheme="minorEastAsia" w:eastAsiaTheme="minorEastAsia" w:hAnsiTheme="minorEastAsia" w:cs="宋体" w:hint="eastAsia"/>
          <w:b/>
          <w:bCs/>
          <w:kern w:val="0"/>
          <w:szCs w:val="24"/>
        </w:rPr>
        <w:t>和其他业务</w:t>
      </w:r>
    </w:p>
    <w:p w14:paraId="06FD6E9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基金登记机构只受理国家有权机关依法要求的基金份额的冻结与解冻，以及登记机构认可、符合法律法规的其他情况下的冻结与解冻。</w:t>
      </w:r>
    </w:p>
    <w:p w14:paraId="4387F729" w14:textId="045D3818" w:rsidR="00595296"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基金份额被冻结的，被冻结部分份额仍然参与收益分配，被冻结部分产生的权益一并冻结。法律法规或监管机构另有规定的除外。</w:t>
      </w:r>
    </w:p>
    <w:p w14:paraId="073D9DE8" w14:textId="4FE095A0" w:rsidR="00A44EB7" w:rsidRPr="006F4D70" w:rsidRDefault="00A44EB7">
      <w:pPr>
        <w:autoSpaceDE w:val="0"/>
        <w:autoSpaceDN w:val="0"/>
        <w:adjustRightInd w:val="0"/>
        <w:ind w:firstLine="480"/>
        <w:rPr>
          <w:rFonts w:asciiTheme="minorEastAsia" w:eastAsiaTheme="minorEastAsia" w:hAnsiTheme="minorEastAsia" w:cs="宋体"/>
          <w:kern w:val="0"/>
          <w:szCs w:val="24"/>
        </w:rPr>
      </w:pPr>
      <w:r w:rsidRPr="00A44EB7">
        <w:rPr>
          <w:rFonts w:asciiTheme="minorEastAsia" w:eastAsiaTheme="minorEastAsia" w:hAnsiTheme="minorEastAsia" w:cs="宋体" w:hint="eastAsia"/>
          <w:kern w:val="0"/>
          <w:szCs w:val="24"/>
        </w:rPr>
        <w:t>如相关法律法规允许基金管理人办理基金份额的质押业务或其他基金业务，基金管理人将制定和实施相应的业务规则。</w:t>
      </w:r>
    </w:p>
    <w:p w14:paraId="5221C01A"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十六、基金份额的转让</w:t>
      </w:r>
    </w:p>
    <w:p w14:paraId="73D387F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法律法规允许且条件具备的情况下，基金管理人可受理基金份额持有人通过中国证监会认可的交易场所或者交易方式进行份额转让的申请并由基金登记机构办理基金份额的过户登记。基金管理人拟受理基金份额转让业务的，将提前公告，基金份额持有人应根据基金管理人公告的业务规则办理基金份额转让业务。</w:t>
      </w:r>
    </w:p>
    <w:p w14:paraId="15145631" w14:textId="77777777" w:rsidR="00595296" w:rsidRPr="006F4D70" w:rsidRDefault="002B7F4D">
      <w:pPr>
        <w:autoSpaceDE w:val="0"/>
        <w:autoSpaceDN w:val="0"/>
        <w:adjustRightInd w:val="0"/>
        <w:ind w:firstLine="482"/>
        <w:rPr>
          <w:rFonts w:asciiTheme="minorEastAsia" w:eastAsiaTheme="minorEastAsia" w:hAnsiTheme="minorEastAsia" w:cs="宋体"/>
          <w:kern w:val="0"/>
          <w:szCs w:val="24"/>
        </w:rPr>
      </w:pPr>
      <w:r w:rsidRPr="006F4D70">
        <w:rPr>
          <w:rFonts w:asciiTheme="minorEastAsia" w:eastAsiaTheme="minorEastAsia" w:hAnsiTheme="minorEastAsia" w:cs="宋体" w:hint="eastAsia"/>
          <w:b/>
          <w:kern w:val="0"/>
          <w:szCs w:val="24"/>
        </w:rPr>
        <w:t>十七、实施侧袋机制期间本基金的申购与赎回</w:t>
      </w:r>
    </w:p>
    <w:p w14:paraId="483B5DA8" w14:textId="52EF9402" w:rsidR="00595296"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本基金实施侧袋机制的，本基金的申购和赎回安排详见招募说明书或相关公告。</w:t>
      </w:r>
      <w:bookmarkEnd w:id="102"/>
    </w:p>
    <w:p w14:paraId="4C0DF74E" w14:textId="2663AF02" w:rsidR="00A44EB7" w:rsidRPr="006F4D70" w:rsidRDefault="00A44EB7">
      <w:pPr>
        <w:autoSpaceDE w:val="0"/>
        <w:autoSpaceDN w:val="0"/>
        <w:adjustRightInd w:val="0"/>
        <w:ind w:firstLine="480"/>
        <w:rPr>
          <w:rFonts w:asciiTheme="minorEastAsia" w:eastAsiaTheme="minorEastAsia" w:hAnsiTheme="minorEastAsia" w:cs="宋体"/>
          <w:kern w:val="0"/>
          <w:szCs w:val="24"/>
        </w:rPr>
      </w:pPr>
      <w:r w:rsidRPr="00A44EB7">
        <w:rPr>
          <w:rFonts w:asciiTheme="minorEastAsia" w:eastAsiaTheme="minorEastAsia" w:hAnsiTheme="minorEastAsia" w:cs="宋体" w:hint="eastAsia"/>
          <w:kern w:val="0"/>
          <w:szCs w:val="24"/>
        </w:rPr>
        <w:t>十八、在不违反相关法律法规且对基金份额持有人利益无实质性不利影响的前提下，基金管理人可根据具体情况在履行一定程序后对上述申购和赎回以及相关业务的安排进行补充和调整并提前公告。</w:t>
      </w:r>
    </w:p>
    <w:p w14:paraId="2884D74A" w14:textId="77777777" w:rsidR="00595296" w:rsidRPr="006F4D70" w:rsidRDefault="002B7F4D">
      <w:pPr>
        <w:autoSpaceDE w:val="0"/>
        <w:autoSpaceDN w:val="0"/>
        <w:adjustRightInd w:val="0"/>
        <w:ind w:firstLine="602"/>
        <w:rPr>
          <w:rFonts w:asciiTheme="minorEastAsia" w:eastAsiaTheme="minorEastAsia" w:hAnsiTheme="minorEastAsia" w:cs="宋体"/>
          <w:b/>
          <w:bCs/>
          <w:kern w:val="0"/>
          <w:sz w:val="30"/>
          <w:szCs w:val="30"/>
        </w:rPr>
      </w:pPr>
      <w:bookmarkStart w:id="106" w:name="_Hlt55355235"/>
      <w:bookmarkStart w:id="107" w:name="_Toc523711668"/>
      <w:bookmarkStart w:id="108" w:name="_Toc15118234"/>
      <w:bookmarkStart w:id="109" w:name="_Toc57530239"/>
      <w:bookmarkStart w:id="110" w:name="_Toc79392580"/>
      <w:bookmarkEnd w:id="106"/>
      <w:r w:rsidRPr="006F4D70">
        <w:rPr>
          <w:rFonts w:asciiTheme="minorEastAsia" w:eastAsiaTheme="minorEastAsia" w:hAnsiTheme="minorEastAsia" w:cs="宋体"/>
          <w:b/>
          <w:bCs/>
          <w:kern w:val="0"/>
          <w:sz w:val="30"/>
          <w:szCs w:val="30"/>
        </w:rPr>
        <w:br w:type="page"/>
      </w:r>
    </w:p>
    <w:p w14:paraId="0B4402E2" w14:textId="77777777" w:rsidR="00595296" w:rsidRPr="006F4D70" w:rsidRDefault="002B7F4D">
      <w:pPr>
        <w:pStyle w:val="1"/>
        <w:ind w:firstLine="602"/>
        <w:rPr>
          <w:rFonts w:asciiTheme="minorEastAsia" w:eastAsiaTheme="minorEastAsia" w:hAnsiTheme="minorEastAsia"/>
          <w:kern w:val="0"/>
        </w:rPr>
      </w:pPr>
      <w:bookmarkStart w:id="111" w:name="_Toc377998622"/>
      <w:bookmarkStart w:id="112" w:name="_Toc198902619"/>
      <w:bookmarkStart w:id="113" w:name="_Hlk224895943"/>
      <w:r w:rsidRPr="006F4D70">
        <w:rPr>
          <w:rFonts w:asciiTheme="minorEastAsia" w:eastAsiaTheme="minorEastAsia" w:hAnsiTheme="minorEastAsia" w:hint="eastAsia"/>
          <w:kern w:val="0"/>
        </w:rPr>
        <w:lastRenderedPageBreak/>
        <w:t>第七部分    基金合同当事人及权利义务</w:t>
      </w:r>
      <w:bookmarkEnd w:id="111"/>
      <w:bookmarkEnd w:id="112"/>
    </w:p>
    <w:p w14:paraId="4B2F5924"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14" w:name="OLE_LINK6"/>
      <w:r w:rsidRPr="006F4D70">
        <w:rPr>
          <w:rFonts w:asciiTheme="minorEastAsia" w:eastAsiaTheme="minorEastAsia" w:hAnsiTheme="minorEastAsia" w:cs="宋体" w:hint="eastAsia"/>
          <w:b/>
          <w:bCs/>
          <w:kern w:val="0"/>
          <w:szCs w:val="24"/>
        </w:rPr>
        <w:t>一、基金</w:t>
      </w:r>
      <w:bookmarkEnd w:id="107"/>
      <w:r w:rsidRPr="006F4D70">
        <w:rPr>
          <w:rFonts w:asciiTheme="minorEastAsia" w:eastAsiaTheme="minorEastAsia" w:hAnsiTheme="minorEastAsia" w:cs="宋体" w:hint="eastAsia"/>
          <w:b/>
          <w:bCs/>
          <w:kern w:val="0"/>
          <w:szCs w:val="24"/>
        </w:rPr>
        <w:t>管理人</w:t>
      </w:r>
      <w:bookmarkEnd w:id="108"/>
      <w:bookmarkEnd w:id="109"/>
      <w:bookmarkEnd w:id="110"/>
    </w:p>
    <w:p w14:paraId="727B870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15" w:name="_Toc15118235"/>
      <w:r w:rsidRPr="006F4D70">
        <w:rPr>
          <w:rFonts w:asciiTheme="minorEastAsia" w:eastAsiaTheme="minorEastAsia" w:hAnsiTheme="minorEastAsia" w:cs="宋体" w:hint="eastAsia"/>
          <w:b/>
          <w:bCs/>
          <w:kern w:val="0"/>
          <w:szCs w:val="24"/>
        </w:rPr>
        <w:t>（一）基金管理人简况</w:t>
      </w:r>
      <w:bookmarkEnd w:id="115"/>
    </w:p>
    <w:p w14:paraId="6CCD1F73" w14:textId="4EDEBF7D" w:rsidR="00530B1E" w:rsidRPr="006F4D70" w:rsidRDefault="00530B1E" w:rsidP="003E04D9">
      <w:pPr>
        <w:ind w:left="2" w:firstLine="480"/>
        <w:rPr>
          <w:rFonts w:asciiTheme="minorEastAsia" w:eastAsiaTheme="minorEastAsia" w:hAnsiTheme="minorEastAsia"/>
          <w:bCs/>
        </w:rPr>
      </w:pPr>
      <w:bookmarkStart w:id="116" w:name="_Toc15118236"/>
      <w:bookmarkStart w:id="117" w:name="_Toc15118237"/>
      <w:r w:rsidRPr="006F4D70">
        <w:rPr>
          <w:rFonts w:asciiTheme="minorEastAsia" w:eastAsiaTheme="minorEastAsia" w:hAnsiTheme="minorEastAsia" w:hint="eastAsia"/>
          <w:bCs/>
        </w:rPr>
        <w:t>名称：天弘基金管理有限公司</w:t>
      </w:r>
    </w:p>
    <w:p w14:paraId="143C66A2" w14:textId="5889CB24"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住所：天津自贸试验区（中心商务区）新华路3678号宝风大厦</w:t>
      </w:r>
      <w:r w:rsidR="00395CF7" w:rsidRPr="00395CF7">
        <w:rPr>
          <w:rFonts w:asciiTheme="minorEastAsia" w:eastAsiaTheme="minorEastAsia" w:hAnsiTheme="minorEastAsia" w:hint="eastAsia"/>
          <w:bCs/>
        </w:rPr>
        <w:t>（新金融大厦）</w:t>
      </w:r>
      <w:r w:rsidR="00395CF7" w:rsidRPr="00395CF7">
        <w:rPr>
          <w:rFonts w:asciiTheme="minorEastAsia" w:eastAsiaTheme="minorEastAsia" w:hAnsiTheme="minorEastAsia"/>
          <w:bCs/>
        </w:rPr>
        <w:t>16层02单元3号房间</w:t>
      </w:r>
    </w:p>
    <w:p w14:paraId="6C39FF09" w14:textId="77777777"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法定代表人：黄辰立</w:t>
      </w:r>
    </w:p>
    <w:p w14:paraId="07F9E03A" w14:textId="77777777"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设立日期：2004年11月8日</w:t>
      </w:r>
    </w:p>
    <w:p w14:paraId="181BD08A" w14:textId="77777777"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批准设立机关及批准设立文号：中国证监会证监基金字[2004]164号</w:t>
      </w:r>
    </w:p>
    <w:p w14:paraId="7E1BEBD6" w14:textId="77777777"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组织形式：有限责任公司</w:t>
      </w:r>
    </w:p>
    <w:p w14:paraId="1033694E" w14:textId="77777777"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注册资本：人民币5.143亿元</w:t>
      </w:r>
    </w:p>
    <w:p w14:paraId="1F5B92DB" w14:textId="77777777" w:rsidR="00530B1E" w:rsidRPr="006F4D70" w:rsidRDefault="00530B1E" w:rsidP="003E04D9">
      <w:pPr>
        <w:ind w:left="2" w:firstLine="480"/>
        <w:rPr>
          <w:rFonts w:asciiTheme="minorEastAsia" w:eastAsiaTheme="minorEastAsia" w:hAnsiTheme="minorEastAsia"/>
          <w:bCs/>
        </w:rPr>
      </w:pPr>
      <w:r w:rsidRPr="006F4D70">
        <w:rPr>
          <w:rFonts w:asciiTheme="minorEastAsia" w:eastAsiaTheme="minorEastAsia" w:hAnsiTheme="minorEastAsia" w:hint="eastAsia"/>
          <w:bCs/>
        </w:rPr>
        <w:t>存续期限：持续经营</w:t>
      </w:r>
    </w:p>
    <w:p w14:paraId="5C52EBB2" w14:textId="171D93E8" w:rsidR="00595296" w:rsidRPr="006F4D70" w:rsidRDefault="00530B1E" w:rsidP="003E04D9">
      <w:pPr>
        <w:autoSpaceDE w:val="0"/>
        <w:autoSpaceDN w:val="0"/>
        <w:adjustRightInd w:val="0"/>
        <w:ind w:left="2" w:firstLine="480"/>
        <w:rPr>
          <w:rFonts w:asciiTheme="minorEastAsia" w:eastAsiaTheme="minorEastAsia" w:hAnsiTheme="minorEastAsia" w:cs="宋体"/>
          <w:kern w:val="0"/>
          <w:szCs w:val="24"/>
        </w:rPr>
      </w:pPr>
      <w:r w:rsidRPr="006F4D70">
        <w:rPr>
          <w:rFonts w:asciiTheme="minorEastAsia" w:eastAsiaTheme="minorEastAsia" w:hAnsiTheme="minorEastAsia" w:hint="eastAsia"/>
          <w:bCs/>
        </w:rPr>
        <w:t>联系电话：（022）83310208</w:t>
      </w:r>
      <w:bookmarkEnd w:id="116"/>
    </w:p>
    <w:p w14:paraId="7428EE0B"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（二）基金管理人的权利与义务</w:t>
      </w:r>
      <w:bookmarkEnd w:id="117"/>
    </w:p>
    <w:p w14:paraId="614108C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118" w:name="_Hlk131362096"/>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、根据《基金法》、《运作办法》及其他有关规定，基金管理人的权利包括但不限于：</w:t>
      </w:r>
    </w:p>
    <w:p w14:paraId="16FB23B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）依法募集资金；</w:t>
      </w:r>
    </w:p>
    <w:p w14:paraId="3B95363C" w14:textId="77777777" w:rsidR="00595296" w:rsidRPr="006F4D70" w:rsidRDefault="002B7F4D">
      <w:pPr>
        <w:autoSpaceDE w:val="0"/>
        <w:autoSpaceDN w:val="0"/>
        <w:adjustRightInd w:val="0"/>
        <w:ind w:leftChars="1" w:left="2"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）自《基金合同》生效之日起，根据法律法规和《基金合同》独立运用并管理基金财产；</w:t>
      </w:r>
    </w:p>
    <w:p w14:paraId="664E7C14" w14:textId="397306D0" w:rsidR="00595296" w:rsidRPr="006F4D70" w:rsidRDefault="002B7F4D">
      <w:pPr>
        <w:autoSpaceDE w:val="0"/>
        <w:autoSpaceDN w:val="0"/>
        <w:adjustRightInd w:val="0"/>
        <w:ind w:leftChars="1" w:left="2"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）依照《基金合同》收取基金管理费</w:t>
      </w:r>
      <w:r w:rsidR="00E01AEB" w:rsidRPr="00967DCD">
        <w:rPr>
          <w:rFonts w:asciiTheme="minorEastAsia" w:eastAsiaTheme="minorEastAsia" w:hAnsiTheme="minorEastAsia" w:cs="宋体" w:hint="eastAsia"/>
          <w:kern w:val="0"/>
          <w:szCs w:val="24"/>
        </w:rPr>
        <w:t>（包括固定管理费、或有管理费和超额管理费）</w:t>
      </w:r>
      <w:r w:rsidRPr="006F4D70">
        <w:rPr>
          <w:rFonts w:asciiTheme="minorEastAsia" w:eastAsiaTheme="minorEastAsia" w:hAnsiTheme="minorEastAsia" w:cs="宋体" w:hint="eastAsia"/>
          <w:kern w:val="0"/>
          <w:szCs w:val="24"/>
        </w:rPr>
        <w:t>以及法律法规规定或中国证监会批准的其他费用；</w:t>
      </w:r>
    </w:p>
    <w:p w14:paraId="6BFAF4C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）销售基金份额；</w:t>
      </w:r>
    </w:p>
    <w:p w14:paraId="158CD37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w:t>
      </w:r>
      <w:bookmarkStart w:id="119" w:name="_Hlt88896155"/>
      <w:r w:rsidRPr="006F4D70">
        <w:rPr>
          <w:rFonts w:asciiTheme="minorEastAsia" w:eastAsiaTheme="minorEastAsia" w:hAnsiTheme="minorEastAsia" w:cs="宋体" w:hint="eastAsia"/>
          <w:kern w:val="0"/>
          <w:szCs w:val="24"/>
        </w:rPr>
        <w:t>按照规定召集</w:t>
      </w:r>
      <w:bookmarkEnd w:id="119"/>
      <w:r w:rsidRPr="006F4D70">
        <w:rPr>
          <w:rFonts w:asciiTheme="minorEastAsia" w:eastAsiaTheme="minorEastAsia" w:hAnsiTheme="minorEastAsia" w:cs="宋体" w:hint="eastAsia"/>
          <w:kern w:val="0"/>
          <w:szCs w:val="24"/>
        </w:rPr>
        <w:t>基金份额持有人大会；</w:t>
      </w:r>
    </w:p>
    <w:p w14:paraId="5698D14C" w14:textId="77777777" w:rsidR="00595296" w:rsidRPr="006F4D70" w:rsidRDefault="002B7F4D">
      <w:pPr>
        <w:autoSpaceDE w:val="0"/>
        <w:autoSpaceDN w:val="0"/>
        <w:adjustRightInd w:val="0"/>
        <w:ind w:leftChars="1" w:left="2"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）依据《基金合同》及有关法律规定监督基金托管人，如认为基金托管人违反了《基金合同》及国家有关法律规定，应呈报中国证监会和其他监管部门，并采取必要措施保护基金投资者的利益；</w:t>
      </w:r>
    </w:p>
    <w:p w14:paraId="3FA2276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）在基金托管人更换时，提名新的基金托管人；</w:t>
      </w:r>
    </w:p>
    <w:p w14:paraId="4ACD74C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）选择、委托、更换基金销售机构，对基金销售机构的相关行为进行监</w:t>
      </w:r>
      <w:r w:rsidRPr="006F4D70">
        <w:rPr>
          <w:rFonts w:asciiTheme="minorEastAsia" w:eastAsiaTheme="minorEastAsia" w:hAnsiTheme="minorEastAsia" w:cs="宋体" w:hint="eastAsia"/>
          <w:kern w:val="0"/>
          <w:szCs w:val="24"/>
        </w:rPr>
        <w:lastRenderedPageBreak/>
        <w:t>督和处理；</w:t>
      </w:r>
    </w:p>
    <w:p w14:paraId="4704D2A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）担任或委托其他符合条件的机构担任基金登记机构办理基金登记业务并获得《基金合同》规定的费用；</w:t>
      </w:r>
    </w:p>
    <w:p w14:paraId="1F120F8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）依据《基金合同》及有关法律规定决定基金收益的分配方案；</w:t>
      </w:r>
    </w:p>
    <w:p w14:paraId="12EABD75" w14:textId="54F72B01"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11</w:t>
      </w:r>
      <w:r w:rsidRPr="006F4D70">
        <w:rPr>
          <w:rFonts w:asciiTheme="minorEastAsia" w:eastAsiaTheme="minorEastAsia" w:hAnsiTheme="minorEastAsia" w:cs="宋体" w:hint="eastAsia"/>
          <w:kern w:val="0"/>
          <w:szCs w:val="24"/>
        </w:rPr>
        <w:t>）在《基金合同》约定的范围内，拒绝或暂停受理申购</w:t>
      </w:r>
      <w:r w:rsidR="00FD3FC2">
        <w:rPr>
          <w:rFonts w:asciiTheme="minorEastAsia" w:eastAsiaTheme="minorEastAsia" w:hAnsiTheme="minorEastAsia" w:cs="宋体" w:hint="eastAsia"/>
          <w:kern w:val="0"/>
          <w:szCs w:val="24"/>
        </w:rPr>
        <w:t>、</w:t>
      </w:r>
      <w:r w:rsidRPr="006F4D70">
        <w:rPr>
          <w:rFonts w:asciiTheme="minorEastAsia" w:eastAsiaTheme="minorEastAsia" w:hAnsiTheme="minorEastAsia" w:cs="宋体" w:hint="eastAsia"/>
          <w:kern w:val="0"/>
          <w:szCs w:val="24"/>
        </w:rPr>
        <w:t>赎回</w:t>
      </w:r>
      <w:r w:rsidR="00FD3FC2">
        <w:rPr>
          <w:rFonts w:asciiTheme="minorEastAsia" w:eastAsiaTheme="minorEastAsia" w:hAnsiTheme="minorEastAsia" w:cs="宋体" w:hint="eastAsia"/>
          <w:kern w:val="0"/>
          <w:szCs w:val="24"/>
        </w:rPr>
        <w:t>与转换</w:t>
      </w:r>
      <w:r w:rsidRPr="006F4D70">
        <w:rPr>
          <w:rFonts w:asciiTheme="minorEastAsia" w:eastAsiaTheme="minorEastAsia" w:hAnsiTheme="minorEastAsia" w:cs="宋体" w:hint="eastAsia"/>
          <w:kern w:val="0"/>
          <w:szCs w:val="24"/>
        </w:rPr>
        <w:t>申请；</w:t>
      </w:r>
    </w:p>
    <w:p w14:paraId="5272FE4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12</w:t>
      </w:r>
      <w:r w:rsidRPr="006F4D70">
        <w:rPr>
          <w:rFonts w:asciiTheme="minorEastAsia" w:eastAsiaTheme="minorEastAsia" w:hAnsiTheme="minorEastAsia" w:cs="宋体" w:hint="eastAsia"/>
          <w:kern w:val="0"/>
          <w:szCs w:val="24"/>
        </w:rPr>
        <w:t>）依照法律法规为基金的利益对被投资公司行使股东权利，为基金的利益行使因基金财产投资于证券所产生的权利；</w:t>
      </w:r>
    </w:p>
    <w:p w14:paraId="2092D72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3）在法律法规允许的前提下，为基金的利益依法为基金进行融资；</w:t>
      </w:r>
    </w:p>
    <w:p w14:paraId="3C5473F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4）以基金管理人的名义，代表基金份额持有人的利益行使诉讼权利或者实施其他法律行为；</w:t>
      </w:r>
    </w:p>
    <w:p w14:paraId="0EF2B10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5）选择、更换律师事务所、会计师事务所、证券、期货经纪商或其他为基金提供服务的外部机构；</w:t>
      </w:r>
    </w:p>
    <w:p w14:paraId="0F7E9757" w14:textId="2939A340"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（16）在符合有关法律、法规的前提下，制订和调整有关基金认购、申购、赎回、转换</w:t>
      </w:r>
      <w:r w:rsidR="00A44EB7" w:rsidRPr="00A44EB7">
        <w:rPr>
          <w:rFonts w:asciiTheme="minorEastAsia" w:eastAsiaTheme="minorEastAsia" w:hAnsiTheme="minorEastAsia" w:cs="宋体" w:hint="eastAsia"/>
          <w:kern w:val="0"/>
          <w:szCs w:val="24"/>
        </w:rPr>
        <w:t>、定期定额投资</w:t>
      </w:r>
      <w:r w:rsidRPr="006F4D70">
        <w:rPr>
          <w:rFonts w:asciiTheme="minorEastAsia" w:eastAsiaTheme="minorEastAsia" w:hAnsiTheme="minorEastAsia" w:cs="宋体" w:hint="eastAsia"/>
          <w:kern w:val="0"/>
          <w:szCs w:val="24"/>
        </w:rPr>
        <w:t>和非交易过户等业务规则；</w:t>
      </w:r>
    </w:p>
    <w:p w14:paraId="06809BC2" w14:textId="23389895" w:rsidR="00595296" w:rsidRPr="006F4D70" w:rsidRDefault="002B7F4D" w:rsidP="00C113F4">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7）法律法规及中国证监会规定的和《基金合同》约定的其他权利。</w:t>
      </w:r>
    </w:p>
    <w:p w14:paraId="0EE408F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、根据《基金法》、《运作办法》及其他有关规定，基金管理人的义务包括但不限于：</w:t>
      </w:r>
    </w:p>
    <w:p w14:paraId="5D38BB0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120" w:name="_Toc523711669"/>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）依法募集资金，办理或者委托经中国证监会认定的其他机构代为办理基金份额的发售、申购、赎回和登记事宜；</w:t>
      </w:r>
    </w:p>
    <w:p w14:paraId="646AF5F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）办理基金备案手续；</w:t>
      </w:r>
    </w:p>
    <w:p w14:paraId="766A23E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）自《基金合同》生效之日起</w:t>
      </w:r>
      <w:r w:rsidRPr="006F4D70">
        <w:rPr>
          <w:rFonts w:asciiTheme="minorEastAsia" w:eastAsiaTheme="minorEastAsia" w:hAnsiTheme="minorEastAsia" w:cs="宋体"/>
          <w:kern w:val="0"/>
          <w:szCs w:val="24"/>
        </w:rPr>
        <w:t>,</w:t>
      </w:r>
      <w:r w:rsidRPr="006F4D70">
        <w:rPr>
          <w:rFonts w:asciiTheme="minorEastAsia" w:eastAsiaTheme="minorEastAsia" w:hAnsiTheme="minorEastAsia" w:cs="宋体" w:hint="eastAsia"/>
          <w:kern w:val="0"/>
          <w:szCs w:val="24"/>
        </w:rPr>
        <w:t>以诚实信用、谨慎勤勉的原则管理和运用基金财产；</w:t>
      </w:r>
    </w:p>
    <w:p w14:paraId="60F0FAD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）配备足够的具有专业资格的人员进行基金投资分析、决策，以专业化的经营方式管理和运作基金财产；</w:t>
      </w:r>
    </w:p>
    <w:p w14:paraId="17D4B9F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）建立健全内部风险控制、监察与稽核、财务管理及人事管理等制度，保证所管理的基金财产和基金管理人的财产相互独立，对所管理的不同基金分别管理，分别记账，进行证券投资；</w:t>
      </w:r>
    </w:p>
    <w:p w14:paraId="56EE1B3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）除依据《基金法》、《基金合同》及其他有关规定外</w:t>
      </w:r>
      <w:r w:rsidRPr="006F4D70">
        <w:rPr>
          <w:rFonts w:asciiTheme="minorEastAsia" w:eastAsiaTheme="minorEastAsia" w:hAnsiTheme="minorEastAsia" w:cs="宋体"/>
          <w:kern w:val="0"/>
          <w:szCs w:val="24"/>
        </w:rPr>
        <w:t>,</w:t>
      </w:r>
      <w:r w:rsidRPr="006F4D70">
        <w:rPr>
          <w:rFonts w:asciiTheme="minorEastAsia" w:eastAsiaTheme="minorEastAsia" w:hAnsiTheme="minorEastAsia" w:cs="宋体" w:hint="eastAsia"/>
          <w:kern w:val="0"/>
          <w:szCs w:val="24"/>
        </w:rPr>
        <w:t>不得利用基金财</w:t>
      </w:r>
      <w:r w:rsidRPr="006F4D70">
        <w:rPr>
          <w:rFonts w:asciiTheme="minorEastAsia" w:eastAsiaTheme="minorEastAsia" w:hAnsiTheme="minorEastAsia" w:cs="宋体" w:hint="eastAsia"/>
          <w:kern w:val="0"/>
          <w:szCs w:val="24"/>
        </w:rPr>
        <w:lastRenderedPageBreak/>
        <w:t>产为自己及任何第三人谋取利益，不得委托第三人运作基金财产；</w:t>
      </w:r>
      <w:bookmarkStart w:id="121" w:name="_Hlt88897298"/>
      <w:bookmarkEnd w:id="121"/>
    </w:p>
    <w:p w14:paraId="0797879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）依法接受基金托管人的监督；</w:t>
      </w:r>
    </w:p>
    <w:p w14:paraId="5B3A826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）采取适当合理的措施使计算基金份额认购、申购、赎回和注销价格的方法符合《基金合同》等法律文件的规定，按有关规定计算并公告基金净值信息，确定基金份额申购、赎回的价格；</w:t>
      </w:r>
    </w:p>
    <w:p w14:paraId="6EAA7B1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）进行基金会计核算并编制基金财务会计报告；</w:t>
      </w:r>
    </w:p>
    <w:p w14:paraId="1D4220D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）编制季度报告、中期报告和年度报告；</w:t>
      </w:r>
    </w:p>
    <w:p w14:paraId="0CF2A42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11</w:t>
      </w:r>
      <w:r w:rsidRPr="006F4D70">
        <w:rPr>
          <w:rFonts w:asciiTheme="minorEastAsia" w:eastAsiaTheme="minorEastAsia" w:hAnsiTheme="minorEastAsia" w:cs="宋体" w:hint="eastAsia"/>
          <w:kern w:val="0"/>
          <w:szCs w:val="24"/>
        </w:rPr>
        <w:t>）严格按照《基金法》、《基金合同》及其他有关规定，履行信息披露及报告义务；</w:t>
      </w:r>
    </w:p>
    <w:p w14:paraId="53907A62" w14:textId="21E0846D"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12</w:t>
      </w:r>
      <w:r w:rsidRPr="006F4D70">
        <w:rPr>
          <w:rFonts w:asciiTheme="minorEastAsia" w:eastAsiaTheme="minorEastAsia" w:hAnsiTheme="minorEastAsia" w:cs="宋体" w:hint="eastAsia"/>
          <w:kern w:val="0"/>
          <w:szCs w:val="24"/>
        </w:rPr>
        <w:t>）保守基金商业秘密，不泄露基金投资计划、投资意向等。除《基金法》、《基金合同》及其他有关规定另有规定外，在基金信息公开披露前应予保密，不向他人泄露，</w:t>
      </w:r>
      <w:r w:rsidR="00A44EB7">
        <w:rPr>
          <w:rFonts w:asciiTheme="minorEastAsia" w:eastAsiaTheme="minorEastAsia" w:hAnsiTheme="minorEastAsia" w:cs="宋体" w:hint="eastAsia"/>
          <w:kern w:val="0"/>
          <w:szCs w:val="24"/>
        </w:rPr>
        <w:t>但</w:t>
      </w:r>
      <w:r w:rsidRPr="006F4D70">
        <w:rPr>
          <w:rFonts w:asciiTheme="minorEastAsia" w:eastAsiaTheme="minorEastAsia" w:hAnsiTheme="minorEastAsia" w:cs="宋体" w:hint="eastAsia"/>
          <w:kern w:val="0"/>
          <w:szCs w:val="24"/>
        </w:rPr>
        <w:t>向监管机构、司法机关等有权机关及审计、法律等外部专业顾问提供的情况除外；</w:t>
      </w:r>
    </w:p>
    <w:p w14:paraId="68B3D1F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13</w:t>
      </w:r>
      <w:r w:rsidRPr="006F4D70">
        <w:rPr>
          <w:rFonts w:asciiTheme="minorEastAsia" w:eastAsiaTheme="minorEastAsia" w:hAnsiTheme="minorEastAsia" w:cs="宋体" w:hint="eastAsia"/>
          <w:kern w:val="0"/>
          <w:szCs w:val="24"/>
        </w:rPr>
        <w:t>）按《基金合同》的约定确定基金收益分配方案，及时向基金份额持有人分配基金收益；</w:t>
      </w:r>
    </w:p>
    <w:p w14:paraId="558C200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14</w:t>
      </w:r>
      <w:r w:rsidRPr="006F4D70">
        <w:rPr>
          <w:rFonts w:asciiTheme="minorEastAsia" w:eastAsiaTheme="minorEastAsia" w:hAnsiTheme="minorEastAsia" w:cs="宋体" w:hint="eastAsia"/>
          <w:kern w:val="0"/>
          <w:szCs w:val="24"/>
        </w:rPr>
        <w:t>）按规定受理申购与赎回申请，及时、足额支付赎回款项；</w:t>
      </w:r>
    </w:p>
    <w:p w14:paraId="7BB5275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15</w:t>
      </w:r>
      <w:r w:rsidRPr="006F4D70">
        <w:rPr>
          <w:rFonts w:asciiTheme="minorEastAsia" w:eastAsiaTheme="minorEastAsia" w:hAnsiTheme="minorEastAsia" w:cs="宋体" w:hint="eastAsia"/>
          <w:kern w:val="0"/>
          <w:szCs w:val="24"/>
        </w:rPr>
        <w:t>）依据《基金法》、《基金合同》及其他有关规定召集基金份额持有人大会或配合基金托管人、基金份额持有人依法召集基金份额持有人大会；</w:t>
      </w:r>
    </w:p>
    <w:p w14:paraId="6FB4534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16</w:t>
      </w:r>
      <w:r w:rsidRPr="006F4D70">
        <w:rPr>
          <w:rFonts w:asciiTheme="minorEastAsia" w:eastAsiaTheme="minorEastAsia" w:hAnsiTheme="minorEastAsia" w:cs="宋体" w:hint="eastAsia"/>
          <w:kern w:val="0"/>
          <w:szCs w:val="24"/>
        </w:rPr>
        <w:t>）按规定保存基金财产管理业务活动的会计账册、报表、记录和其他相关资料不少于法定最低期限；</w:t>
      </w:r>
    </w:p>
    <w:p w14:paraId="73EAEC9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17</w:t>
      </w:r>
      <w:r w:rsidRPr="006F4D70">
        <w:rPr>
          <w:rFonts w:asciiTheme="minorEastAsia" w:eastAsiaTheme="minorEastAsia" w:hAnsiTheme="minorEastAsia" w:cs="宋体" w:hint="eastAsia"/>
          <w:kern w:val="0"/>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683EA3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18</w:t>
      </w:r>
      <w:r w:rsidRPr="006F4D70">
        <w:rPr>
          <w:rFonts w:asciiTheme="minorEastAsia" w:eastAsiaTheme="minorEastAsia" w:hAnsiTheme="minorEastAsia" w:cs="宋体" w:hint="eastAsia"/>
          <w:kern w:val="0"/>
          <w:szCs w:val="24"/>
        </w:rPr>
        <w:t>）组织并参加基金财产清算小组，参与基金财产的保管、清理、估价、变现和分配；</w:t>
      </w:r>
    </w:p>
    <w:p w14:paraId="5DBD668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19</w:t>
      </w:r>
      <w:r w:rsidRPr="006F4D70">
        <w:rPr>
          <w:rFonts w:asciiTheme="minorEastAsia" w:eastAsiaTheme="minorEastAsia" w:hAnsiTheme="minorEastAsia" w:cs="宋体" w:hint="eastAsia"/>
          <w:kern w:val="0"/>
          <w:szCs w:val="24"/>
        </w:rPr>
        <w:t>）面临解散、依法被撤销或者被依法宣告破产时，及时报告中国证监会并通知基金托管人；</w:t>
      </w:r>
    </w:p>
    <w:p w14:paraId="4613DA8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20</w:t>
      </w:r>
      <w:r w:rsidRPr="006F4D70">
        <w:rPr>
          <w:rFonts w:asciiTheme="minorEastAsia" w:eastAsiaTheme="minorEastAsia" w:hAnsiTheme="minorEastAsia" w:cs="宋体" w:hint="eastAsia"/>
          <w:kern w:val="0"/>
          <w:szCs w:val="24"/>
        </w:rPr>
        <w:t>）因违反《基金合同》导致基金财产的损失或损害基金份额持有人合法权益时，应当承担赔偿责任，其赔偿责任不因其退任而免除；</w:t>
      </w:r>
    </w:p>
    <w:p w14:paraId="02B36CC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w:t>
      </w:r>
      <w:r w:rsidRPr="006F4D70">
        <w:rPr>
          <w:rFonts w:asciiTheme="minorEastAsia" w:eastAsiaTheme="minorEastAsia" w:hAnsiTheme="minorEastAsia" w:cs="宋体"/>
          <w:kern w:val="0"/>
          <w:szCs w:val="24"/>
        </w:rPr>
        <w:t>21</w:t>
      </w:r>
      <w:r w:rsidRPr="006F4D70">
        <w:rPr>
          <w:rFonts w:asciiTheme="minorEastAsia" w:eastAsiaTheme="minorEastAsia" w:hAnsiTheme="minorEastAsia" w:cs="宋体" w:hint="eastAsia"/>
          <w:kern w:val="0"/>
          <w:szCs w:val="24"/>
        </w:rPr>
        <w:t>）监督基金托管人按法律法规和《基金合同》规定履行自己的义务，基金托管人违反《基金合同》造成基金财产损失时，基金管理人应为基金份额持有人利益向基金托管人追偿；</w:t>
      </w:r>
    </w:p>
    <w:p w14:paraId="38619C5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22</w:t>
      </w:r>
      <w:r w:rsidRPr="006F4D70">
        <w:rPr>
          <w:rFonts w:asciiTheme="minorEastAsia" w:eastAsiaTheme="minorEastAsia" w:hAnsiTheme="minorEastAsia" w:cs="宋体" w:hint="eastAsia"/>
          <w:kern w:val="0"/>
          <w:szCs w:val="24"/>
        </w:rPr>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13B75B0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23</w:t>
      </w:r>
      <w:r w:rsidRPr="006F4D70">
        <w:rPr>
          <w:rFonts w:asciiTheme="minorEastAsia" w:eastAsiaTheme="minorEastAsia" w:hAnsiTheme="minorEastAsia" w:cs="宋体" w:hint="eastAsia"/>
          <w:kern w:val="0"/>
          <w:szCs w:val="24"/>
        </w:rPr>
        <w:t>）以基金管理人名义，代表基金份额持有人利益行使诉讼权利或实施其他法律行为；</w:t>
      </w:r>
    </w:p>
    <w:p w14:paraId="7C2ACB9D" w14:textId="754EA849"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24</w:t>
      </w:r>
      <w:r w:rsidRPr="006F4D70">
        <w:rPr>
          <w:rFonts w:asciiTheme="minorEastAsia" w:eastAsiaTheme="minorEastAsia" w:hAnsiTheme="minorEastAsia" w:cs="宋体" w:hint="eastAsia"/>
          <w:kern w:val="0"/>
          <w:szCs w:val="24"/>
        </w:rPr>
        <w:t>）基金管理人在募集期间未能达到基金</w:t>
      </w:r>
      <w:bookmarkStart w:id="122" w:name="_Hlt88823209"/>
      <w:bookmarkEnd w:id="122"/>
      <w:r w:rsidRPr="006F4D70">
        <w:rPr>
          <w:rFonts w:asciiTheme="minorEastAsia" w:eastAsiaTheme="minorEastAsia" w:hAnsiTheme="minorEastAsia" w:cs="宋体" w:hint="eastAsia"/>
          <w:kern w:val="0"/>
          <w:szCs w:val="24"/>
        </w:rPr>
        <w:t>的备案条件，《基金合同》不能生效，基金管理人承担</w:t>
      </w:r>
      <w:r w:rsidRPr="006F4D70">
        <w:rPr>
          <w:rFonts w:asciiTheme="minorEastAsia" w:eastAsiaTheme="minorEastAsia" w:hAnsiTheme="minorEastAsia" w:cs="宋体"/>
          <w:kern w:val="0"/>
          <w:szCs w:val="24"/>
        </w:rPr>
        <w:t>全部募集费用</w:t>
      </w:r>
      <w:r w:rsidRPr="006F4D70">
        <w:rPr>
          <w:rFonts w:asciiTheme="minorEastAsia" w:eastAsiaTheme="minorEastAsia" w:hAnsiTheme="minorEastAsia" w:cs="宋体" w:hint="eastAsia"/>
          <w:kern w:val="0"/>
          <w:szCs w:val="24"/>
        </w:rPr>
        <w:t>，将已募集资金并加计银行同期活期存款利息</w:t>
      </w:r>
      <w:r w:rsidR="00460210" w:rsidRPr="00460210">
        <w:rPr>
          <w:rFonts w:asciiTheme="minorEastAsia" w:eastAsiaTheme="minorEastAsia" w:hAnsiTheme="minorEastAsia" w:cs="宋体" w:hint="eastAsia"/>
          <w:kern w:val="0"/>
          <w:szCs w:val="24"/>
        </w:rPr>
        <w:t>（税后）</w:t>
      </w:r>
      <w:r w:rsidRPr="006F4D70">
        <w:rPr>
          <w:rFonts w:asciiTheme="minorEastAsia" w:eastAsiaTheme="minorEastAsia" w:hAnsiTheme="minorEastAsia" w:cs="宋体" w:hint="eastAsia"/>
          <w:kern w:val="0"/>
          <w:szCs w:val="24"/>
        </w:rPr>
        <w:t>在基金募集期结束后</w:t>
      </w:r>
      <w:r w:rsidRPr="006F4D70">
        <w:rPr>
          <w:rFonts w:asciiTheme="minorEastAsia" w:eastAsiaTheme="minorEastAsia" w:hAnsiTheme="minorEastAsia" w:cs="宋体"/>
          <w:kern w:val="0"/>
          <w:szCs w:val="24"/>
        </w:rPr>
        <w:t>30</w:t>
      </w:r>
      <w:r w:rsidRPr="006F4D70">
        <w:rPr>
          <w:rFonts w:asciiTheme="minorEastAsia" w:eastAsiaTheme="minorEastAsia" w:hAnsiTheme="minorEastAsia" w:cs="宋体" w:hint="eastAsia"/>
          <w:kern w:val="0"/>
          <w:szCs w:val="24"/>
        </w:rPr>
        <w:t>日内退还基金认购人；</w:t>
      </w:r>
    </w:p>
    <w:p w14:paraId="10D2443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25</w:t>
      </w:r>
      <w:r w:rsidRPr="006F4D70">
        <w:rPr>
          <w:rFonts w:asciiTheme="minorEastAsia" w:eastAsiaTheme="minorEastAsia" w:hAnsiTheme="minorEastAsia" w:cs="宋体" w:hint="eastAsia"/>
          <w:kern w:val="0"/>
          <w:szCs w:val="24"/>
        </w:rPr>
        <w:t>）执行生效的基金份额持有人大会的决议；</w:t>
      </w:r>
    </w:p>
    <w:p w14:paraId="6D8FC75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26</w:t>
      </w:r>
      <w:r w:rsidRPr="006F4D70">
        <w:rPr>
          <w:rFonts w:asciiTheme="minorEastAsia" w:eastAsiaTheme="minorEastAsia" w:hAnsiTheme="minorEastAsia" w:cs="宋体" w:hint="eastAsia"/>
          <w:kern w:val="0"/>
          <w:szCs w:val="24"/>
        </w:rPr>
        <w:t>）建立并保存基金份额持有人名册；</w:t>
      </w:r>
    </w:p>
    <w:p w14:paraId="3FDE90B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27</w:t>
      </w:r>
      <w:r w:rsidRPr="006F4D70">
        <w:rPr>
          <w:rFonts w:asciiTheme="minorEastAsia" w:eastAsiaTheme="minorEastAsia" w:hAnsiTheme="minorEastAsia" w:cs="宋体" w:hint="eastAsia"/>
          <w:kern w:val="0"/>
          <w:szCs w:val="24"/>
        </w:rPr>
        <w:t>）法律法规及中国证监会规定的和《基金合同》约定的其他义务。</w:t>
      </w:r>
    </w:p>
    <w:p w14:paraId="5862CD7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23" w:name="_Toc15118238"/>
      <w:bookmarkStart w:id="124" w:name="_Toc57530240"/>
      <w:bookmarkStart w:id="125" w:name="_Toc79392581"/>
      <w:r w:rsidRPr="006F4D70">
        <w:rPr>
          <w:rFonts w:asciiTheme="minorEastAsia" w:eastAsiaTheme="minorEastAsia" w:hAnsiTheme="minorEastAsia" w:cs="宋体" w:hint="eastAsia"/>
          <w:b/>
          <w:bCs/>
          <w:kern w:val="0"/>
          <w:szCs w:val="24"/>
        </w:rPr>
        <w:t>二、基金托管人</w:t>
      </w:r>
      <w:bookmarkEnd w:id="120"/>
      <w:bookmarkEnd w:id="123"/>
      <w:bookmarkEnd w:id="124"/>
      <w:bookmarkEnd w:id="125"/>
    </w:p>
    <w:p w14:paraId="61713A4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26" w:name="_Toc15118239"/>
      <w:r w:rsidRPr="006F4D70">
        <w:rPr>
          <w:rFonts w:asciiTheme="minorEastAsia" w:eastAsiaTheme="minorEastAsia" w:hAnsiTheme="minorEastAsia" w:cs="宋体" w:hint="eastAsia"/>
          <w:b/>
          <w:bCs/>
          <w:kern w:val="0"/>
          <w:szCs w:val="24"/>
        </w:rPr>
        <w:t>（一）基金托管人简况</w:t>
      </w:r>
      <w:bookmarkEnd w:id="126"/>
    </w:p>
    <w:p w14:paraId="6E013472" w14:textId="4D4246CC"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基金托管人</w:t>
      </w:r>
      <w:r w:rsidR="00E01AEB">
        <w:rPr>
          <w:rFonts w:asciiTheme="minorEastAsia" w:eastAsiaTheme="minorEastAsia" w:hAnsiTheme="minorEastAsia" w:cs="宋体" w:hint="eastAsia"/>
          <w:kern w:val="0"/>
          <w:szCs w:val="24"/>
        </w:rPr>
        <w:t>名称</w:t>
      </w:r>
      <w:r w:rsidRPr="006F4D70">
        <w:rPr>
          <w:rFonts w:asciiTheme="minorEastAsia" w:eastAsiaTheme="minorEastAsia" w:hAnsiTheme="minorEastAsia" w:cs="宋体"/>
          <w:kern w:val="0"/>
          <w:szCs w:val="24"/>
        </w:rPr>
        <w:t>：</w:t>
      </w:r>
      <w:r w:rsidR="00703B6C">
        <w:rPr>
          <w:rFonts w:asciiTheme="minorEastAsia" w:eastAsiaTheme="minorEastAsia" w:hAnsiTheme="minorEastAsia" w:cs="宋体"/>
          <w:kern w:val="0"/>
          <w:szCs w:val="24"/>
        </w:rPr>
        <w:t>中国建设银行股份有限公司</w:t>
      </w:r>
    </w:p>
    <w:p w14:paraId="66B0BE58" w14:textId="0788A519"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注册地址：</w:t>
      </w:r>
      <w:r w:rsidR="00460210" w:rsidRPr="00460210">
        <w:rPr>
          <w:rFonts w:asciiTheme="minorEastAsia" w:eastAsiaTheme="minorEastAsia" w:hAnsiTheme="minorEastAsia" w:cs="宋体" w:hint="eastAsia"/>
          <w:kern w:val="0"/>
          <w:szCs w:val="24"/>
        </w:rPr>
        <w:t>北京市西城区金融大街</w:t>
      </w:r>
      <w:r w:rsidR="00460210" w:rsidRPr="00460210">
        <w:rPr>
          <w:rFonts w:asciiTheme="minorEastAsia" w:eastAsiaTheme="minorEastAsia" w:hAnsiTheme="minorEastAsia" w:cs="宋体"/>
          <w:kern w:val="0"/>
          <w:szCs w:val="24"/>
        </w:rPr>
        <w:t>25号</w:t>
      </w:r>
    </w:p>
    <w:p w14:paraId="2233ADDB" w14:textId="61FAFFC7"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办公地址：</w:t>
      </w:r>
      <w:r w:rsidR="00460210" w:rsidRPr="00460210">
        <w:rPr>
          <w:rFonts w:asciiTheme="minorEastAsia" w:eastAsiaTheme="minorEastAsia" w:hAnsiTheme="minorEastAsia" w:cs="宋体" w:hint="eastAsia"/>
          <w:kern w:val="0"/>
          <w:szCs w:val="24"/>
        </w:rPr>
        <w:t>北京市西城区闹市口大街</w:t>
      </w:r>
      <w:r w:rsidR="00460210" w:rsidRPr="00460210">
        <w:rPr>
          <w:rFonts w:asciiTheme="minorEastAsia" w:eastAsiaTheme="minorEastAsia" w:hAnsiTheme="minorEastAsia" w:cs="宋体"/>
          <w:kern w:val="0"/>
          <w:szCs w:val="24"/>
        </w:rPr>
        <w:t>1号院1号楼</w:t>
      </w:r>
    </w:p>
    <w:p w14:paraId="38C9E98F" w14:textId="753360BD"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法定代表人：</w:t>
      </w:r>
      <w:r w:rsidR="00460210" w:rsidRPr="00460210">
        <w:rPr>
          <w:rFonts w:asciiTheme="minorEastAsia" w:eastAsiaTheme="minorEastAsia" w:hAnsiTheme="minorEastAsia" w:cs="宋体" w:hint="eastAsia"/>
          <w:kern w:val="0"/>
          <w:szCs w:val="24"/>
        </w:rPr>
        <w:t>张金良</w:t>
      </w:r>
      <w:r w:rsidR="00460210" w:rsidRPr="006F4D70" w:rsidDel="00460210">
        <w:rPr>
          <w:rFonts w:asciiTheme="minorEastAsia" w:eastAsiaTheme="minorEastAsia" w:hAnsiTheme="minorEastAsia" w:cs="宋体"/>
          <w:kern w:val="0"/>
          <w:szCs w:val="24"/>
        </w:rPr>
        <w:t xml:space="preserve"> </w:t>
      </w:r>
    </w:p>
    <w:p w14:paraId="323C104E" w14:textId="7F5B291A"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成立日期：</w:t>
      </w:r>
      <w:r w:rsidR="00460210" w:rsidRPr="00460210">
        <w:rPr>
          <w:rFonts w:asciiTheme="minorEastAsia" w:eastAsiaTheme="minorEastAsia" w:hAnsiTheme="minorEastAsia" w:cs="宋体"/>
          <w:kern w:val="0"/>
          <w:szCs w:val="24"/>
        </w:rPr>
        <w:t>2004年09月17日</w:t>
      </w:r>
      <w:r w:rsidR="00460210" w:rsidRPr="006F4D70" w:rsidDel="00460210">
        <w:rPr>
          <w:rFonts w:asciiTheme="minorEastAsia" w:eastAsiaTheme="minorEastAsia" w:hAnsiTheme="minorEastAsia" w:cs="宋体"/>
          <w:kern w:val="0"/>
          <w:szCs w:val="24"/>
        </w:rPr>
        <w:t xml:space="preserve"> </w:t>
      </w:r>
    </w:p>
    <w:p w14:paraId="3B7FE1FE" w14:textId="04C7F03B"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基金托管资格批文及文号：</w:t>
      </w:r>
      <w:r w:rsidR="00460210" w:rsidRPr="00460210">
        <w:rPr>
          <w:rFonts w:asciiTheme="minorEastAsia" w:eastAsiaTheme="minorEastAsia" w:hAnsiTheme="minorEastAsia" w:cs="宋体" w:hint="eastAsia"/>
          <w:kern w:val="0"/>
          <w:szCs w:val="24"/>
        </w:rPr>
        <w:t>中国证监会证监基字</w:t>
      </w:r>
      <w:r w:rsidR="00460210" w:rsidRPr="00460210">
        <w:rPr>
          <w:rFonts w:asciiTheme="minorEastAsia" w:eastAsiaTheme="minorEastAsia" w:hAnsiTheme="minorEastAsia" w:cs="宋体"/>
          <w:kern w:val="0"/>
          <w:szCs w:val="24"/>
        </w:rPr>
        <w:t>[1998]12号</w:t>
      </w:r>
    </w:p>
    <w:p w14:paraId="17C175A9" w14:textId="0557B2AC"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组织形式：股份有限公司</w:t>
      </w:r>
    </w:p>
    <w:p w14:paraId="4F8B0461" w14:textId="6B49D2D7" w:rsidR="00B60CB8"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注册资本：</w:t>
      </w:r>
      <w:r w:rsidR="00460210" w:rsidRPr="00460210">
        <w:rPr>
          <w:rFonts w:asciiTheme="minorEastAsia" w:eastAsiaTheme="minorEastAsia" w:hAnsiTheme="minorEastAsia" w:cs="宋体" w:hint="eastAsia"/>
          <w:kern w:val="0"/>
          <w:szCs w:val="24"/>
        </w:rPr>
        <w:t>贰仟伍佰亿壹仟零玖拾柒万柒仟肆佰捌拾陆元整</w:t>
      </w:r>
      <w:r w:rsidR="00460210" w:rsidRPr="006F4D70" w:rsidDel="00460210">
        <w:rPr>
          <w:rFonts w:asciiTheme="minorEastAsia" w:eastAsiaTheme="minorEastAsia" w:hAnsiTheme="minorEastAsia" w:cs="宋体"/>
          <w:kern w:val="0"/>
          <w:szCs w:val="24"/>
        </w:rPr>
        <w:t xml:space="preserve"> </w:t>
      </w:r>
    </w:p>
    <w:p w14:paraId="1B890C88" w14:textId="5AA6E423" w:rsidR="00595296" w:rsidRPr="006F4D70" w:rsidRDefault="00B60CB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存续期限：持续经营</w:t>
      </w:r>
    </w:p>
    <w:p w14:paraId="4F43625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27" w:name="_Toc15118240"/>
      <w:r w:rsidRPr="006F4D70">
        <w:rPr>
          <w:rFonts w:asciiTheme="minorEastAsia" w:eastAsiaTheme="minorEastAsia" w:hAnsiTheme="minorEastAsia" w:cs="宋体" w:hint="eastAsia"/>
          <w:b/>
          <w:bCs/>
          <w:kern w:val="0"/>
          <w:szCs w:val="24"/>
        </w:rPr>
        <w:t>（二）基金托管人的权利与义务</w:t>
      </w:r>
      <w:bookmarkEnd w:id="127"/>
    </w:p>
    <w:p w14:paraId="67205DA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、根据《基金法》、《运作办法》及其他有关规定，基金托管人的权利包括但不限于：</w:t>
      </w:r>
    </w:p>
    <w:p w14:paraId="5FB686E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）自《基金合同》生效之日起，依法律法规和《基金合同》的规定安全</w:t>
      </w:r>
      <w:r w:rsidRPr="006F4D70">
        <w:rPr>
          <w:rFonts w:asciiTheme="minorEastAsia" w:eastAsiaTheme="minorEastAsia" w:hAnsiTheme="minorEastAsia" w:cs="宋体" w:hint="eastAsia"/>
          <w:kern w:val="0"/>
          <w:szCs w:val="24"/>
        </w:rPr>
        <w:lastRenderedPageBreak/>
        <w:t>保管基金财产；</w:t>
      </w:r>
    </w:p>
    <w:p w14:paraId="7862D3B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）依《基金合同》约定获得基金托管费以及法律法规规定或监管部门批准的其他费用；</w:t>
      </w:r>
    </w:p>
    <w:p w14:paraId="0261E8D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12EE25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根据相关市场规则，为</w:t>
      </w:r>
      <w:r w:rsidRPr="006F4D70">
        <w:rPr>
          <w:rFonts w:asciiTheme="minorEastAsia" w:eastAsiaTheme="minorEastAsia" w:hAnsiTheme="minorEastAsia" w:cs="宋体" w:hint="eastAsia"/>
          <w:kern w:val="0"/>
          <w:szCs w:val="24"/>
        </w:rPr>
        <w:t>基金开设资金账户、证券账户等投资所需账户，</w:t>
      </w:r>
      <w:r w:rsidRPr="006F4D70">
        <w:rPr>
          <w:rFonts w:asciiTheme="minorEastAsia" w:eastAsiaTheme="minorEastAsia" w:hAnsiTheme="minorEastAsia" w:cs="宋体"/>
          <w:kern w:val="0"/>
          <w:szCs w:val="24"/>
        </w:rPr>
        <w:t>为基金办理</w:t>
      </w:r>
      <w:r w:rsidRPr="006F4D70">
        <w:rPr>
          <w:rFonts w:asciiTheme="minorEastAsia" w:eastAsiaTheme="minorEastAsia" w:hAnsiTheme="minorEastAsia" w:cs="宋体" w:hint="eastAsia"/>
          <w:kern w:val="0"/>
          <w:szCs w:val="24"/>
        </w:rPr>
        <w:t>证券、期货交易资金清算；</w:t>
      </w:r>
    </w:p>
    <w:p w14:paraId="7EACFF3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（5）以基金的名义在中央国债登记结算有限责任公司和银行间市场清算所股份有限公司开设银行间债券托管账户；</w:t>
      </w:r>
    </w:p>
    <w:p w14:paraId="4DC7BDE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（6）提议召开或召集基金份额持有人大会；</w:t>
      </w:r>
    </w:p>
    <w:p w14:paraId="02CC7D4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hint="eastAsia"/>
          <w:bCs/>
        </w:rPr>
        <w:t>7</w:t>
      </w:r>
      <w:r w:rsidRPr="006F4D70">
        <w:rPr>
          <w:rFonts w:asciiTheme="minorEastAsia" w:eastAsiaTheme="minorEastAsia" w:hAnsiTheme="minorEastAsia" w:cs="宋体" w:hint="eastAsia"/>
          <w:kern w:val="0"/>
          <w:szCs w:val="24"/>
        </w:rPr>
        <w:t>）在基金管理人更换时，提名新的基金管理人；</w:t>
      </w:r>
    </w:p>
    <w:p w14:paraId="79EE5E5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hint="eastAsia"/>
          <w:bCs/>
        </w:rPr>
        <w:t>8</w:t>
      </w:r>
      <w:r w:rsidRPr="006F4D70">
        <w:rPr>
          <w:rFonts w:asciiTheme="minorEastAsia" w:eastAsiaTheme="minorEastAsia" w:hAnsiTheme="minorEastAsia" w:cs="宋体" w:hint="eastAsia"/>
          <w:kern w:val="0"/>
          <w:szCs w:val="24"/>
        </w:rPr>
        <w:t>）法律法规及中国证监会规定</w:t>
      </w:r>
      <w:r w:rsidRPr="006F4D70">
        <w:rPr>
          <w:rFonts w:asciiTheme="minorEastAsia" w:eastAsiaTheme="minorEastAsia" w:hAnsiTheme="minorEastAsia" w:hint="eastAsia"/>
          <w:kern w:val="0"/>
        </w:rPr>
        <w:t>的和</w:t>
      </w:r>
      <w:r w:rsidRPr="006F4D70">
        <w:rPr>
          <w:rFonts w:asciiTheme="minorEastAsia" w:eastAsiaTheme="minorEastAsia" w:hAnsiTheme="minorEastAsia" w:cs="宋体" w:hint="eastAsia"/>
          <w:kern w:val="0"/>
          <w:szCs w:val="24"/>
        </w:rPr>
        <w:t>《基金合同》约定的其他权利。</w:t>
      </w:r>
    </w:p>
    <w:p w14:paraId="48A5F1C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、根据《基金法》、《运作办法》及其他有关规定，基金托管人的义务包括但不限于：</w:t>
      </w:r>
    </w:p>
    <w:p w14:paraId="2138EBF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）以诚实信用、勤勉尽责的原则持有并安全保管基金财产；</w:t>
      </w:r>
    </w:p>
    <w:p w14:paraId="1FC0E43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）设立专门的基金托管部门，具有符合要求的营业场所，配备足够的、合格的熟悉基金托管业务的专职人员，负责基金财产托管事宜；</w:t>
      </w:r>
    </w:p>
    <w:p w14:paraId="460077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E9386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）除依据《基金法》、《基金合同》及其他有关规定外，不得利用基金财产为自己及任何第三人谋取利益，不得委托第三人托管基金财产；</w:t>
      </w:r>
    </w:p>
    <w:p w14:paraId="00261B6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）保管由基金管理人代表基金签订的与基金有关的重大合同及有关凭证；</w:t>
      </w:r>
    </w:p>
    <w:p w14:paraId="50F59FD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）按规定开设基金财产的资金账户、证券账户等投资所需账户，按照《基金合同》的约定，根据基金管理人的投资指令，及时办理清算、交割事宜；</w:t>
      </w:r>
    </w:p>
    <w:p w14:paraId="7A021D7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）保守基金商业秘密，除《基金法》、《基金合同》及其他有关规定另有规定外，在基金信息公开披露前予以保密，不得向他人泄露</w:t>
      </w:r>
      <w:r w:rsidRPr="006F4D70">
        <w:rPr>
          <w:rFonts w:asciiTheme="minorEastAsia" w:eastAsiaTheme="minorEastAsia" w:hAnsiTheme="minorEastAsia" w:hint="eastAsia"/>
          <w:kern w:val="0"/>
        </w:rPr>
        <w:t>，</w:t>
      </w:r>
      <w:r w:rsidRPr="006F4D70">
        <w:rPr>
          <w:rFonts w:asciiTheme="minorEastAsia" w:eastAsiaTheme="minorEastAsia" w:hAnsiTheme="minorEastAsia" w:cs="宋体" w:hint="eastAsia"/>
          <w:kern w:val="0"/>
          <w:szCs w:val="24"/>
        </w:rPr>
        <w:t>但根据</w:t>
      </w:r>
      <w:r w:rsidRPr="006F4D70">
        <w:rPr>
          <w:rFonts w:asciiTheme="minorEastAsia" w:eastAsiaTheme="minorEastAsia" w:hAnsiTheme="minorEastAsia" w:hint="eastAsia"/>
          <w:kern w:val="0"/>
        </w:rPr>
        <w:t>监管机构、</w:t>
      </w:r>
      <w:r w:rsidRPr="006F4D70">
        <w:rPr>
          <w:rFonts w:asciiTheme="minorEastAsia" w:eastAsiaTheme="minorEastAsia" w:hAnsiTheme="minorEastAsia" w:hint="eastAsia"/>
          <w:kern w:val="0"/>
        </w:rPr>
        <w:lastRenderedPageBreak/>
        <w:t>司法机关等有权机关的要求，或向审计、法律等外部专业顾问提供的情况除外</w:t>
      </w:r>
      <w:r w:rsidRPr="006F4D70">
        <w:rPr>
          <w:rFonts w:asciiTheme="minorEastAsia" w:eastAsiaTheme="minorEastAsia" w:hAnsiTheme="minorEastAsia" w:cs="宋体" w:hint="eastAsia"/>
          <w:kern w:val="0"/>
          <w:szCs w:val="24"/>
        </w:rPr>
        <w:t>；</w:t>
      </w:r>
    </w:p>
    <w:p w14:paraId="3E31AAC9" w14:textId="1BA4C5BD"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）复核、审查基金管理人计算的基金资产净值、</w:t>
      </w:r>
      <w:r w:rsidR="008A38CE">
        <w:rPr>
          <w:rFonts w:asciiTheme="minorEastAsia" w:eastAsiaTheme="minorEastAsia" w:hAnsiTheme="minorEastAsia" w:cs="宋体" w:hint="eastAsia"/>
          <w:kern w:val="0"/>
          <w:szCs w:val="24"/>
        </w:rPr>
        <w:t>各类</w:t>
      </w:r>
      <w:r w:rsidRPr="006F4D70">
        <w:rPr>
          <w:rFonts w:asciiTheme="minorEastAsia" w:eastAsiaTheme="minorEastAsia" w:hAnsiTheme="minorEastAsia" w:cs="宋体" w:hint="eastAsia"/>
          <w:kern w:val="0"/>
          <w:szCs w:val="24"/>
        </w:rPr>
        <w:t>基金份额净值、基金份额申购、赎回价格；</w:t>
      </w:r>
    </w:p>
    <w:p w14:paraId="1271B65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）办理与基金托管业务活动有关的信息披露事项；</w:t>
      </w:r>
    </w:p>
    <w:p w14:paraId="2F6DE35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5B7DE2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11</w:t>
      </w:r>
      <w:r w:rsidRPr="006F4D70">
        <w:rPr>
          <w:rFonts w:asciiTheme="minorEastAsia" w:eastAsiaTheme="minorEastAsia" w:hAnsiTheme="minorEastAsia" w:cs="宋体" w:hint="eastAsia"/>
          <w:kern w:val="0"/>
          <w:szCs w:val="24"/>
        </w:rPr>
        <w:t>）保存基金托管业务活动的记录、账册、报表和其他相关资料</w:t>
      </w:r>
      <w:r w:rsidRPr="006F4D70">
        <w:rPr>
          <w:rFonts w:asciiTheme="minorEastAsia" w:eastAsiaTheme="minorEastAsia" w:hAnsiTheme="minorEastAsia" w:cs="宋体"/>
          <w:kern w:val="0"/>
          <w:szCs w:val="24"/>
        </w:rPr>
        <w:t>不</w:t>
      </w:r>
      <w:r w:rsidRPr="006F4D70">
        <w:rPr>
          <w:rFonts w:asciiTheme="minorEastAsia" w:eastAsiaTheme="minorEastAsia" w:hAnsiTheme="minorEastAsia" w:cs="宋体" w:hint="eastAsia"/>
          <w:kern w:val="0"/>
          <w:szCs w:val="24"/>
        </w:rPr>
        <w:t>少于法定最低</w:t>
      </w:r>
      <w:r w:rsidRPr="006F4D70">
        <w:rPr>
          <w:rFonts w:asciiTheme="minorEastAsia" w:eastAsiaTheme="minorEastAsia" w:hAnsiTheme="minorEastAsia" w:cs="宋体"/>
          <w:kern w:val="0"/>
          <w:szCs w:val="24"/>
        </w:rPr>
        <w:t>期限</w:t>
      </w:r>
      <w:r w:rsidRPr="006F4D70">
        <w:rPr>
          <w:rFonts w:asciiTheme="minorEastAsia" w:eastAsiaTheme="minorEastAsia" w:hAnsiTheme="minorEastAsia" w:cs="宋体" w:hint="eastAsia"/>
          <w:kern w:val="0"/>
          <w:szCs w:val="24"/>
        </w:rPr>
        <w:t>；</w:t>
      </w:r>
    </w:p>
    <w:p w14:paraId="19D2F5B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12</w:t>
      </w:r>
      <w:r w:rsidRPr="006F4D70">
        <w:rPr>
          <w:rFonts w:asciiTheme="minorEastAsia" w:eastAsiaTheme="minorEastAsia" w:hAnsiTheme="minorEastAsia" w:cs="宋体" w:hint="eastAsia"/>
          <w:kern w:val="0"/>
          <w:szCs w:val="24"/>
        </w:rPr>
        <w:t>）从基金管理人或其委托的登记机构处接收并保存基金份额持有人名册；</w:t>
      </w:r>
    </w:p>
    <w:p w14:paraId="4D29E62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13</w:t>
      </w:r>
      <w:r w:rsidRPr="006F4D70">
        <w:rPr>
          <w:rFonts w:asciiTheme="minorEastAsia" w:eastAsiaTheme="minorEastAsia" w:hAnsiTheme="minorEastAsia" w:cs="宋体" w:hint="eastAsia"/>
          <w:kern w:val="0"/>
          <w:szCs w:val="24"/>
        </w:rPr>
        <w:t>）按规定制作相关账册并与基金管理人核对；</w:t>
      </w:r>
    </w:p>
    <w:p w14:paraId="5B6FD44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14</w:t>
      </w:r>
      <w:r w:rsidRPr="006F4D70">
        <w:rPr>
          <w:rFonts w:asciiTheme="minorEastAsia" w:eastAsiaTheme="minorEastAsia" w:hAnsiTheme="minorEastAsia" w:cs="宋体" w:hint="eastAsia"/>
          <w:kern w:val="0"/>
          <w:szCs w:val="24"/>
        </w:rPr>
        <w:t>）依据基金管理人的指令或有关规定向基金份额持有人支付基金收益和赎回款项；</w:t>
      </w:r>
    </w:p>
    <w:p w14:paraId="6C2FFE7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15</w:t>
      </w:r>
      <w:r w:rsidRPr="006F4D70">
        <w:rPr>
          <w:rFonts w:asciiTheme="minorEastAsia" w:eastAsiaTheme="minorEastAsia" w:hAnsiTheme="minorEastAsia" w:cs="宋体" w:hint="eastAsia"/>
          <w:kern w:val="0"/>
          <w:szCs w:val="24"/>
        </w:rPr>
        <w:t>）依据《基金法》、《基金合同》及其他有关规定，召集基金份额持有人大会或配合基金管理人、基金份额持有人依法召集基金份额持有人大会；</w:t>
      </w:r>
    </w:p>
    <w:p w14:paraId="0841DE1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16</w:t>
      </w:r>
      <w:r w:rsidRPr="006F4D70">
        <w:rPr>
          <w:rFonts w:asciiTheme="minorEastAsia" w:eastAsiaTheme="minorEastAsia" w:hAnsiTheme="minorEastAsia" w:cs="宋体" w:hint="eastAsia"/>
          <w:kern w:val="0"/>
          <w:szCs w:val="24"/>
        </w:rPr>
        <w:t>）按照法律法规和《基金合同》的规定监督基金管理人的投资运作；</w:t>
      </w:r>
    </w:p>
    <w:p w14:paraId="61F10CE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17</w:t>
      </w:r>
      <w:r w:rsidRPr="006F4D70">
        <w:rPr>
          <w:rFonts w:asciiTheme="minorEastAsia" w:eastAsiaTheme="minorEastAsia" w:hAnsiTheme="minorEastAsia" w:cs="宋体" w:hint="eastAsia"/>
          <w:kern w:val="0"/>
          <w:szCs w:val="24"/>
        </w:rPr>
        <w:t>）参加基金财产清算小组，参与基金财产的保管、清理、估价、变现和分配；</w:t>
      </w:r>
    </w:p>
    <w:p w14:paraId="7789459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18</w:t>
      </w:r>
      <w:r w:rsidRPr="006F4D70">
        <w:rPr>
          <w:rFonts w:asciiTheme="minorEastAsia" w:eastAsiaTheme="minorEastAsia" w:hAnsiTheme="minorEastAsia" w:cs="宋体" w:hint="eastAsia"/>
          <w:kern w:val="0"/>
          <w:szCs w:val="24"/>
        </w:rPr>
        <w:t>）面临解散、依法被撤销或者被依法宣告破产时，及时报告中国证监会和银行业监督管理机构，并通知基金管理人；</w:t>
      </w:r>
    </w:p>
    <w:p w14:paraId="683EE6B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19</w:t>
      </w:r>
      <w:r w:rsidRPr="006F4D70">
        <w:rPr>
          <w:rFonts w:asciiTheme="minorEastAsia" w:eastAsiaTheme="minorEastAsia" w:hAnsiTheme="minorEastAsia" w:cs="宋体" w:hint="eastAsia"/>
          <w:kern w:val="0"/>
          <w:szCs w:val="24"/>
        </w:rPr>
        <w:t>）因违反《基金合同》导致基金财产损失时，应承担赔偿责任，其赔偿责任不因其退任而免除；</w:t>
      </w:r>
    </w:p>
    <w:p w14:paraId="50255A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20</w:t>
      </w:r>
      <w:r w:rsidRPr="006F4D70">
        <w:rPr>
          <w:rFonts w:asciiTheme="minorEastAsia" w:eastAsiaTheme="minorEastAsia" w:hAnsiTheme="minorEastAsia" w:cs="宋体" w:hint="eastAsia"/>
          <w:kern w:val="0"/>
          <w:szCs w:val="24"/>
        </w:rPr>
        <w:t>）按规定监督基金管理人按法律法规和《基金合同》规定履行自己的义务，基金管理人因违反《基金合同》造成基金财产损失时，应为基金份额持有人利益向基金管理人追偿</w:t>
      </w:r>
      <w:bookmarkStart w:id="128" w:name="_Hlt88825668"/>
      <w:bookmarkEnd w:id="128"/>
      <w:r w:rsidRPr="006F4D70">
        <w:rPr>
          <w:rFonts w:asciiTheme="minorEastAsia" w:eastAsiaTheme="minorEastAsia" w:hAnsiTheme="minorEastAsia" w:cs="宋体" w:hint="eastAsia"/>
          <w:kern w:val="0"/>
          <w:szCs w:val="24"/>
        </w:rPr>
        <w:t>；</w:t>
      </w:r>
    </w:p>
    <w:p w14:paraId="4401B24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21</w:t>
      </w:r>
      <w:r w:rsidRPr="006F4D70">
        <w:rPr>
          <w:rFonts w:asciiTheme="minorEastAsia" w:eastAsiaTheme="minorEastAsia" w:hAnsiTheme="minorEastAsia" w:cs="宋体" w:hint="eastAsia"/>
          <w:kern w:val="0"/>
          <w:szCs w:val="24"/>
        </w:rPr>
        <w:t>）执行生效的基金份额持有人大会的决议；</w:t>
      </w:r>
    </w:p>
    <w:p w14:paraId="1020917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22</w:t>
      </w:r>
      <w:r w:rsidRPr="006F4D70">
        <w:rPr>
          <w:rFonts w:asciiTheme="minorEastAsia" w:eastAsiaTheme="minorEastAsia" w:hAnsiTheme="minorEastAsia" w:cs="宋体" w:hint="eastAsia"/>
          <w:kern w:val="0"/>
          <w:szCs w:val="24"/>
        </w:rPr>
        <w:t>）</w:t>
      </w:r>
      <w:bookmarkStart w:id="129" w:name="_Toc523711670"/>
      <w:r w:rsidRPr="006F4D70">
        <w:rPr>
          <w:rFonts w:asciiTheme="minorEastAsia" w:eastAsiaTheme="minorEastAsia" w:hAnsiTheme="minorEastAsia" w:cs="宋体" w:hint="eastAsia"/>
          <w:kern w:val="0"/>
          <w:szCs w:val="24"/>
        </w:rPr>
        <w:t>法律法规及中国证监会规定的和《基金合同》约定的其他义务。</w:t>
      </w:r>
      <w:bookmarkStart w:id="130" w:name="_Toc79392582"/>
    </w:p>
    <w:p w14:paraId="4C79C6B1"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31" w:name="_Hlk131362632"/>
      <w:bookmarkEnd w:id="129"/>
      <w:r w:rsidRPr="006F4D70">
        <w:rPr>
          <w:rFonts w:asciiTheme="minorEastAsia" w:eastAsiaTheme="minorEastAsia" w:hAnsiTheme="minorEastAsia" w:cs="宋体" w:hint="eastAsia"/>
          <w:b/>
          <w:bCs/>
          <w:kern w:val="0"/>
          <w:szCs w:val="24"/>
        </w:rPr>
        <w:t>三、基金份额持有人</w:t>
      </w:r>
      <w:bookmarkEnd w:id="130"/>
    </w:p>
    <w:p w14:paraId="76C8582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基金投资者持有本基金</w:t>
      </w:r>
      <w:bookmarkStart w:id="132" w:name="_Hlt88899909"/>
      <w:bookmarkEnd w:id="132"/>
      <w:r w:rsidRPr="006F4D70">
        <w:rPr>
          <w:rFonts w:asciiTheme="minorEastAsia" w:eastAsiaTheme="minorEastAsia" w:hAnsiTheme="minorEastAsia" w:cs="宋体" w:hint="eastAsia"/>
          <w:kern w:val="0"/>
          <w:szCs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EEBBB6B" w14:textId="6D8FD302" w:rsidR="00595296" w:rsidRPr="006F4D70" w:rsidRDefault="00E01AEB">
      <w:pPr>
        <w:autoSpaceDE w:val="0"/>
        <w:autoSpaceDN w:val="0"/>
        <w:adjustRightInd w:val="0"/>
        <w:ind w:firstLine="480"/>
        <w:rPr>
          <w:rFonts w:asciiTheme="minorEastAsia" w:eastAsiaTheme="minorEastAsia" w:hAnsiTheme="minorEastAsia" w:cs="宋体"/>
          <w:kern w:val="0"/>
          <w:szCs w:val="24"/>
        </w:rPr>
      </w:pPr>
      <w:r w:rsidRPr="00967DCD">
        <w:rPr>
          <w:rFonts w:asciiTheme="minorEastAsia" w:eastAsiaTheme="minorEastAsia" w:hAnsiTheme="minorEastAsia" w:cs="宋体"/>
          <w:kern w:val="0"/>
          <w:szCs w:val="24"/>
        </w:rPr>
        <w:t>除法律法规另有规定或本基金合同另有约定外，</w:t>
      </w:r>
      <w:r w:rsidR="002B7F4D" w:rsidRPr="006F4D70">
        <w:rPr>
          <w:rFonts w:asciiTheme="minorEastAsia" w:eastAsiaTheme="minorEastAsia" w:hAnsiTheme="minorEastAsia" w:cs="宋体" w:hint="eastAsia"/>
          <w:kern w:val="0"/>
          <w:szCs w:val="24"/>
        </w:rPr>
        <w:t>同一类别的每份基金份额具有同等的合法权益。</w:t>
      </w:r>
    </w:p>
    <w:p w14:paraId="3481E87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、根据《基金法》、《运作办法》及其他有关规定，基金份额持有人的权利包括但不限于：</w:t>
      </w:r>
    </w:p>
    <w:p w14:paraId="76C0DD8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）分享基金财产收益；</w:t>
      </w:r>
    </w:p>
    <w:p w14:paraId="6000316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）参与分配清算后的剩余基金财产；</w:t>
      </w:r>
      <w:bookmarkStart w:id="133" w:name="_Hlt88825574"/>
      <w:bookmarkEnd w:id="133"/>
    </w:p>
    <w:p w14:paraId="02742BD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）依法转让或者申请赎回其持有的基金份额；</w:t>
      </w:r>
    </w:p>
    <w:p w14:paraId="3DC28E6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 按照规定要求召开基金份额持有人大会或者召集基金份额持有人大会；</w:t>
      </w:r>
    </w:p>
    <w:p w14:paraId="6BDDE13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）出席或者委派代表出席基金份额持有人大会，对基金份额持有人大会审议事项行使表决权；</w:t>
      </w:r>
    </w:p>
    <w:p w14:paraId="3A158C4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）查阅或者复制公开披露的基金信息资料；</w:t>
      </w:r>
    </w:p>
    <w:p w14:paraId="67B3CB3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）监督基金管理人的投资运作；</w:t>
      </w:r>
    </w:p>
    <w:p w14:paraId="7788297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）对基金管理人、基金托管人、基金服务机构损害其合法权益的行为依法提起诉讼</w:t>
      </w:r>
      <w:r w:rsidRPr="006F4D70">
        <w:rPr>
          <w:rFonts w:asciiTheme="minorEastAsia" w:eastAsiaTheme="minorEastAsia" w:hAnsiTheme="minorEastAsia" w:cs="宋体"/>
          <w:kern w:val="0"/>
          <w:szCs w:val="24"/>
        </w:rPr>
        <w:t>或仲裁</w:t>
      </w:r>
      <w:r w:rsidRPr="006F4D70">
        <w:rPr>
          <w:rFonts w:asciiTheme="minorEastAsia" w:eastAsiaTheme="minorEastAsia" w:hAnsiTheme="minorEastAsia" w:cs="宋体" w:hint="eastAsia"/>
          <w:kern w:val="0"/>
          <w:szCs w:val="24"/>
        </w:rPr>
        <w:t>；</w:t>
      </w:r>
    </w:p>
    <w:p w14:paraId="3DAB995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）法律法规及中国证监会规定的和《基金合同》约定的其他权利。</w:t>
      </w:r>
    </w:p>
    <w:p w14:paraId="7B257F3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、根据《基金法》、《运作办法》及其他有关规定，基金份额持有人的义务包括但不限于：</w:t>
      </w:r>
    </w:p>
    <w:p w14:paraId="688EED3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）认真阅读并遵守《基金合同》、招募说明书等信息披露文件；</w:t>
      </w:r>
    </w:p>
    <w:p w14:paraId="4E2F880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）了解所投资基金产品，了解自身风险承受能力，自主判断基金的投资价值，自主做出投资决策，自行承担投资风险；</w:t>
      </w:r>
    </w:p>
    <w:p w14:paraId="1082A36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）关注基金信息披露，及时行使权利和履行义务；</w:t>
      </w:r>
    </w:p>
    <w:p w14:paraId="7EC4647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）交纳基金认购、申购款项及法律法规和《基金合同》所规定的费用；</w:t>
      </w:r>
    </w:p>
    <w:p w14:paraId="4F4FEBB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）在其持有的基金份额范围内，承担基金亏损或者《基金合同》终止的有限责任；</w:t>
      </w:r>
    </w:p>
    <w:p w14:paraId="4812E9A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）不从事任何有损基金及其他《基金合同》当事人合法权益的活动；</w:t>
      </w:r>
    </w:p>
    <w:p w14:paraId="189A968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 xml:space="preserve">）执行生效的基金份额持有人大会的决议； </w:t>
      </w:r>
    </w:p>
    <w:p w14:paraId="7D8D208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）返还在基金交易过程中因任何原因获得的不当得利；</w:t>
      </w:r>
    </w:p>
    <w:p w14:paraId="4460D4DF" w14:textId="77777777" w:rsidR="00E01AEB" w:rsidRPr="00E4053D" w:rsidRDefault="002B7F4D" w:rsidP="00E01AEB">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w:t>
      </w:r>
      <w:r w:rsidR="00E01AEB" w:rsidRPr="00E4053D">
        <w:rPr>
          <w:rFonts w:asciiTheme="minorEastAsia" w:eastAsiaTheme="minorEastAsia" w:hAnsiTheme="minorEastAsia" w:cs="宋体" w:hint="eastAsia"/>
          <w:kern w:val="0"/>
          <w:szCs w:val="24"/>
        </w:rPr>
        <w:t>遵守基金管理人、基金托管人、销售机构和登记机构的相关交易及业务规则；</w:t>
      </w:r>
      <w:r w:rsidR="00E01AEB" w:rsidRPr="00E4053D">
        <w:rPr>
          <w:rFonts w:asciiTheme="minorEastAsia" w:eastAsiaTheme="minorEastAsia" w:hAnsiTheme="minorEastAsia" w:cs="宋体"/>
          <w:kern w:val="0"/>
          <w:szCs w:val="24"/>
        </w:rPr>
        <w:t xml:space="preserve"> </w:t>
      </w:r>
    </w:p>
    <w:p w14:paraId="51D34734" w14:textId="77777777" w:rsidR="00E01AEB" w:rsidRPr="00E01AEB" w:rsidRDefault="00E01AEB" w:rsidP="00E01AEB">
      <w:pPr>
        <w:autoSpaceDE w:val="0"/>
        <w:autoSpaceDN w:val="0"/>
        <w:adjustRightInd w:val="0"/>
        <w:ind w:firstLine="480"/>
        <w:rPr>
          <w:rFonts w:asciiTheme="minorEastAsia" w:eastAsiaTheme="minorEastAsia" w:hAnsiTheme="minorEastAsia" w:cs="宋体"/>
          <w:kern w:val="0"/>
          <w:szCs w:val="24"/>
        </w:rPr>
      </w:pPr>
      <w:r w:rsidRPr="00E4053D">
        <w:rPr>
          <w:rFonts w:asciiTheme="minorEastAsia" w:eastAsiaTheme="minorEastAsia" w:hAnsiTheme="minorEastAsia" w:cs="宋体" w:hint="eastAsia"/>
          <w:kern w:val="0"/>
          <w:szCs w:val="24"/>
        </w:rPr>
        <w:t>（</w:t>
      </w:r>
      <w:r w:rsidRPr="00E4053D">
        <w:rPr>
          <w:rFonts w:asciiTheme="minorEastAsia" w:eastAsiaTheme="minorEastAsia" w:hAnsiTheme="minorEastAsia" w:cs="宋体"/>
          <w:kern w:val="0"/>
          <w:szCs w:val="24"/>
        </w:rPr>
        <w:t>10）提供基金管理人和监管机构依法要求提供的信息，以及不时的更新和补充，并保证其真实性；</w:t>
      </w:r>
      <w:r w:rsidRPr="00E01AEB">
        <w:rPr>
          <w:rFonts w:asciiTheme="minorEastAsia" w:eastAsiaTheme="minorEastAsia" w:hAnsiTheme="minorEastAsia" w:cs="宋体"/>
          <w:kern w:val="0"/>
          <w:szCs w:val="24"/>
        </w:rPr>
        <w:t xml:space="preserve"> </w:t>
      </w:r>
    </w:p>
    <w:p w14:paraId="1850852C" w14:textId="315F67B7" w:rsidR="00595296" w:rsidRPr="006F4D70" w:rsidRDefault="00E01AEB" w:rsidP="00E01AEB">
      <w:pPr>
        <w:autoSpaceDE w:val="0"/>
        <w:autoSpaceDN w:val="0"/>
        <w:adjustRightInd w:val="0"/>
        <w:ind w:firstLine="480"/>
        <w:rPr>
          <w:rFonts w:asciiTheme="minorEastAsia" w:eastAsiaTheme="minorEastAsia" w:hAnsiTheme="minorEastAsia" w:cs="宋体"/>
          <w:kern w:val="0"/>
          <w:szCs w:val="24"/>
        </w:rPr>
      </w:pPr>
      <w:r w:rsidRPr="00E01AEB">
        <w:rPr>
          <w:rFonts w:asciiTheme="minorEastAsia" w:eastAsiaTheme="minorEastAsia" w:hAnsiTheme="minorEastAsia" w:cs="宋体" w:hint="eastAsia"/>
          <w:kern w:val="0"/>
          <w:szCs w:val="24"/>
        </w:rPr>
        <w:t>（</w:t>
      </w:r>
      <w:r w:rsidRPr="00E01AEB">
        <w:rPr>
          <w:rFonts w:asciiTheme="minorEastAsia" w:eastAsiaTheme="minorEastAsia" w:hAnsiTheme="minorEastAsia" w:cs="宋体"/>
          <w:kern w:val="0"/>
          <w:szCs w:val="24"/>
        </w:rPr>
        <w:t>11）</w:t>
      </w:r>
      <w:r w:rsidR="002B7F4D" w:rsidRPr="006F4D70">
        <w:rPr>
          <w:rFonts w:asciiTheme="minorEastAsia" w:eastAsiaTheme="minorEastAsia" w:hAnsiTheme="minorEastAsia" w:cs="宋体" w:hint="eastAsia"/>
          <w:kern w:val="0"/>
          <w:szCs w:val="24"/>
        </w:rPr>
        <w:t>法律法规及中国证监会规定的和《基金合同》约定的其他义务。</w:t>
      </w:r>
      <w:bookmarkEnd w:id="114"/>
      <w:bookmarkEnd w:id="131"/>
    </w:p>
    <w:p w14:paraId="64119497" w14:textId="77777777" w:rsidR="00595296" w:rsidRPr="006F4D70" w:rsidRDefault="002B7F4D">
      <w:pPr>
        <w:pStyle w:val="1"/>
        <w:ind w:firstLine="482"/>
        <w:rPr>
          <w:rFonts w:asciiTheme="minorEastAsia" w:eastAsiaTheme="minorEastAsia" w:hAnsiTheme="minorEastAsia"/>
          <w:kern w:val="0"/>
        </w:rPr>
      </w:pPr>
      <w:r w:rsidRPr="006F4D70">
        <w:rPr>
          <w:rFonts w:asciiTheme="minorEastAsia" w:eastAsiaTheme="minorEastAsia" w:hAnsiTheme="minorEastAsia" w:cs="宋体"/>
          <w:kern w:val="0"/>
          <w:sz w:val="24"/>
          <w:szCs w:val="24"/>
        </w:rPr>
        <w:br w:type="page"/>
      </w:r>
      <w:bookmarkStart w:id="134" w:name="_Toc377998623"/>
      <w:bookmarkStart w:id="135" w:name="_Toc198902620"/>
      <w:bookmarkStart w:id="136" w:name="_Hlk224895950"/>
      <w:bookmarkEnd w:id="113"/>
      <w:r w:rsidRPr="006F4D70">
        <w:rPr>
          <w:rFonts w:asciiTheme="minorEastAsia" w:eastAsiaTheme="minorEastAsia" w:hAnsiTheme="minorEastAsia" w:hint="eastAsia"/>
          <w:kern w:val="0"/>
        </w:rPr>
        <w:lastRenderedPageBreak/>
        <w:t>第八部分    基金份额持有人大会</w:t>
      </w:r>
      <w:bookmarkEnd w:id="134"/>
      <w:bookmarkEnd w:id="135"/>
    </w:p>
    <w:p w14:paraId="117E5A1F" w14:textId="3D030A56"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基金份额持有人大会由基金份额持有人组成，基金份额持有人的合法授权代表有权代表基金份额持有人出席会议并表决。</w:t>
      </w:r>
      <w:r w:rsidR="00631A89" w:rsidRPr="00631A89">
        <w:rPr>
          <w:rFonts w:asciiTheme="minorEastAsia" w:eastAsiaTheme="minorEastAsia" w:hAnsiTheme="minorEastAsia" w:cs="宋体" w:hint="eastAsia"/>
          <w:kern w:val="0"/>
          <w:szCs w:val="24"/>
        </w:rPr>
        <w:t>除法律法规另有规定或本基金合同另有约定外，</w:t>
      </w:r>
      <w:r w:rsidRPr="006F4D70">
        <w:rPr>
          <w:rFonts w:asciiTheme="minorEastAsia" w:eastAsiaTheme="minorEastAsia" w:hAnsiTheme="minorEastAsia" w:cs="宋体" w:hint="eastAsia"/>
          <w:kern w:val="0"/>
          <w:szCs w:val="24"/>
        </w:rPr>
        <w:t>基金份额持有人持有的每一基金份额拥有平等的投票权。</w:t>
      </w:r>
    </w:p>
    <w:p w14:paraId="3754150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本基金份额持有人大会不设日常机构。</w:t>
      </w:r>
    </w:p>
    <w:p w14:paraId="2FB6949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37" w:name="_Toc57530243"/>
      <w:bookmarkStart w:id="138" w:name="_Toc15641220"/>
      <w:bookmarkStart w:id="139" w:name="_Toc79392584"/>
      <w:r w:rsidRPr="006F4D70">
        <w:rPr>
          <w:rFonts w:asciiTheme="minorEastAsia" w:eastAsiaTheme="minorEastAsia" w:hAnsiTheme="minorEastAsia" w:cs="宋体" w:hint="eastAsia"/>
          <w:b/>
          <w:bCs/>
          <w:kern w:val="0"/>
          <w:szCs w:val="24"/>
        </w:rPr>
        <w:t>一、召开事由</w:t>
      </w:r>
      <w:bookmarkEnd w:id="137"/>
      <w:bookmarkEnd w:id="138"/>
      <w:bookmarkEnd w:id="139"/>
    </w:p>
    <w:p w14:paraId="0A702F4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、除法律法规、中国证监会另有规定外，当出现或需要决定下列事由之一的，应当召开基金份额持有人大会：</w:t>
      </w:r>
    </w:p>
    <w:p w14:paraId="0CD3051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）终止《基金合同》，《基金合同》另有约定的除外；</w:t>
      </w:r>
    </w:p>
    <w:p w14:paraId="16765F8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）更换基金管理人；</w:t>
      </w:r>
    </w:p>
    <w:p w14:paraId="563C802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）更换基金托管人；</w:t>
      </w:r>
    </w:p>
    <w:p w14:paraId="6A0D79D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）转换基金运作方式</w:t>
      </w:r>
      <w:r w:rsidRPr="006F4D70">
        <w:rPr>
          <w:rFonts w:asciiTheme="minorEastAsia" w:eastAsiaTheme="minorEastAsia" w:hAnsiTheme="minorEastAsia" w:cs="宋体" w:hint="eastAsia"/>
          <w:bCs/>
          <w:color w:val="000000"/>
          <w:kern w:val="0"/>
          <w:szCs w:val="24"/>
        </w:rPr>
        <w:t>；</w:t>
      </w:r>
    </w:p>
    <w:p w14:paraId="2208EC61" w14:textId="0A2A73DA"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hint="eastAsia"/>
          <w:bCs/>
          <w:color w:val="000000"/>
          <w:kern w:val="0"/>
          <w:szCs w:val="24"/>
        </w:rPr>
        <w:t>调整基金管理人、基金托管人的报酬标准</w:t>
      </w:r>
      <w:r w:rsidR="00EF221C" w:rsidRPr="006F4D70">
        <w:rPr>
          <w:rFonts w:hint="eastAsia"/>
        </w:rPr>
        <w:t>或调高销售服务费率</w:t>
      </w:r>
      <w:r w:rsidRPr="006F4D70">
        <w:rPr>
          <w:rFonts w:asciiTheme="minorEastAsia" w:eastAsiaTheme="minorEastAsia" w:hAnsiTheme="minorEastAsia" w:cs="宋体" w:hint="eastAsia"/>
          <w:bCs/>
          <w:color w:val="000000"/>
          <w:kern w:val="0"/>
          <w:szCs w:val="24"/>
        </w:rPr>
        <w:t>；</w:t>
      </w:r>
    </w:p>
    <w:p w14:paraId="4B60F79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）变更基金类别；</w:t>
      </w:r>
    </w:p>
    <w:p w14:paraId="6207381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）本基金与其他基金的合并；</w:t>
      </w:r>
    </w:p>
    <w:p w14:paraId="49FFBB3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）变更基金投资目标、范围或策略；</w:t>
      </w:r>
    </w:p>
    <w:p w14:paraId="72BD5C2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）变更基金份额持有人大会程序；</w:t>
      </w:r>
    </w:p>
    <w:p w14:paraId="65845E9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0）基金管理人或基金托管人要求召开基金份额持有人大会；</w:t>
      </w:r>
    </w:p>
    <w:p w14:paraId="222CAED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1）单独或合计持有本基金总份额</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％）基金份额的基金份额持有人（以基金管理人收到提议当日的基金份额计算，下同）就同一事项书面要求召开基金份额持有人大会；</w:t>
      </w:r>
    </w:p>
    <w:p w14:paraId="273BBFC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2）对基金合同当事人权利和义务产生重大影响的其他事项；</w:t>
      </w:r>
    </w:p>
    <w:p w14:paraId="3A39EB9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13</w:t>
      </w:r>
      <w:r w:rsidRPr="006F4D70">
        <w:rPr>
          <w:rFonts w:asciiTheme="minorEastAsia" w:eastAsiaTheme="minorEastAsia" w:hAnsiTheme="minorEastAsia" w:cs="宋体" w:hint="eastAsia"/>
          <w:kern w:val="0"/>
          <w:szCs w:val="24"/>
        </w:rPr>
        <w:t>）法律法规、《基金合同》或中国证监会规定的其他应当召开基金份额持有人大会的事项。</w:t>
      </w:r>
    </w:p>
    <w:p w14:paraId="5B0F208C" w14:textId="3326864B"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、在法律法规规定和《基金合同》约定的范围内且对基金份额持有人利益无实质性不利影响的前提下，以下情况可由基金管理人和基金托管人协商一致后修改，不需召开基金份额持有人大会：</w:t>
      </w:r>
    </w:p>
    <w:p w14:paraId="6E6072E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）法律法规要求增加的基金费用的收取；</w:t>
      </w:r>
    </w:p>
    <w:p w14:paraId="0524CBC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）调整本基金的申购费率、</w:t>
      </w:r>
      <w:r w:rsidRPr="006F4D70">
        <w:rPr>
          <w:rFonts w:asciiTheme="minorEastAsia" w:eastAsiaTheme="minorEastAsia" w:hAnsiTheme="minorEastAsia" w:cs="宋体" w:hint="eastAsia"/>
          <w:szCs w:val="24"/>
        </w:rPr>
        <w:t>调低销售服务费率或变更收费方式</w:t>
      </w:r>
      <w:r w:rsidRPr="006F4D70">
        <w:rPr>
          <w:rFonts w:asciiTheme="minorEastAsia" w:eastAsiaTheme="minorEastAsia" w:hAnsiTheme="minorEastAsia" w:cs="宋体" w:hint="eastAsia"/>
          <w:kern w:val="0"/>
          <w:szCs w:val="24"/>
        </w:rPr>
        <w:t>；</w:t>
      </w:r>
    </w:p>
    <w:p w14:paraId="6FAB67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）因相应的法律法规发生变动而应当对《基金合同》进行修改；</w:t>
      </w:r>
    </w:p>
    <w:p w14:paraId="1DA295F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）对《基金合同》的修改对基金份额持有人利益无实质性不利影响或修改不涉及《基金合同》当事人权利义务关系发生重大变化；</w:t>
      </w:r>
    </w:p>
    <w:p w14:paraId="7CB5F7DE" w14:textId="19AB1B7C" w:rsidR="00631A89" w:rsidRPr="00E4053D" w:rsidRDefault="002B7F4D" w:rsidP="00631A89">
      <w:pPr>
        <w:autoSpaceDE w:val="0"/>
        <w:autoSpaceDN w:val="0"/>
        <w:adjustRightInd w:val="0"/>
        <w:ind w:firstLine="480"/>
        <w:rPr>
          <w:rFonts w:asciiTheme="minorEastAsia" w:eastAsiaTheme="minorEastAsia" w:hAnsiTheme="minorEastAsia" w:cs="宋体"/>
          <w:kern w:val="0"/>
          <w:szCs w:val="24"/>
        </w:rPr>
      </w:pPr>
      <w:r w:rsidRPr="00E4053D">
        <w:rPr>
          <w:rFonts w:asciiTheme="minorEastAsia" w:eastAsiaTheme="minorEastAsia" w:hAnsiTheme="minorEastAsia" w:cs="宋体" w:hint="eastAsia"/>
          <w:kern w:val="0"/>
          <w:szCs w:val="24"/>
        </w:rPr>
        <w:t>（</w:t>
      </w:r>
      <w:r w:rsidRPr="00E4053D">
        <w:rPr>
          <w:rFonts w:asciiTheme="minorEastAsia" w:eastAsiaTheme="minorEastAsia" w:hAnsiTheme="minorEastAsia" w:cs="宋体"/>
          <w:kern w:val="0"/>
          <w:szCs w:val="24"/>
        </w:rPr>
        <w:t>5</w:t>
      </w:r>
      <w:r w:rsidRPr="00E4053D">
        <w:rPr>
          <w:rFonts w:asciiTheme="minorEastAsia" w:eastAsiaTheme="minorEastAsia" w:hAnsiTheme="minorEastAsia" w:cs="宋体" w:hint="eastAsia"/>
          <w:kern w:val="0"/>
          <w:szCs w:val="24"/>
        </w:rPr>
        <w:t>）</w:t>
      </w:r>
      <w:r w:rsidR="00631A89" w:rsidRPr="00E4053D">
        <w:rPr>
          <w:rFonts w:asciiTheme="minorEastAsia" w:eastAsiaTheme="minorEastAsia" w:hAnsiTheme="minorEastAsia" w:cs="宋体" w:hint="eastAsia"/>
          <w:kern w:val="0"/>
          <w:szCs w:val="24"/>
        </w:rPr>
        <w:t>基金管理人、登记机构、基金销售机构调整有关申购、赎回、转换、基金交易、非交易过户、转托管、质押等业务规则；</w:t>
      </w:r>
      <w:r w:rsidR="00631A89" w:rsidRPr="00E4053D">
        <w:rPr>
          <w:rFonts w:asciiTheme="minorEastAsia" w:eastAsiaTheme="minorEastAsia" w:hAnsiTheme="minorEastAsia" w:cs="宋体"/>
          <w:kern w:val="0"/>
          <w:szCs w:val="24"/>
        </w:rPr>
        <w:t xml:space="preserve"> </w:t>
      </w:r>
    </w:p>
    <w:p w14:paraId="6BF2F3EF" w14:textId="77777777" w:rsidR="00631A89" w:rsidRPr="00631A89" w:rsidRDefault="00631A89" w:rsidP="00631A89">
      <w:pPr>
        <w:autoSpaceDE w:val="0"/>
        <w:autoSpaceDN w:val="0"/>
        <w:adjustRightInd w:val="0"/>
        <w:ind w:firstLine="480"/>
        <w:rPr>
          <w:rFonts w:asciiTheme="minorEastAsia" w:eastAsiaTheme="minorEastAsia" w:hAnsiTheme="minorEastAsia" w:cs="宋体"/>
          <w:kern w:val="0"/>
          <w:szCs w:val="24"/>
        </w:rPr>
      </w:pPr>
      <w:r w:rsidRPr="00E4053D">
        <w:rPr>
          <w:rFonts w:asciiTheme="minorEastAsia" w:eastAsiaTheme="minorEastAsia" w:hAnsiTheme="minorEastAsia" w:cs="宋体" w:hint="eastAsia"/>
          <w:kern w:val="0"/>
          <w:szCs w:val="24"/>
        </w:rPr>
        <w:t>（</w:t>
      </w:r>
      <w:r w:rsidRPr="00E4053D">
        <w:rPr>
          <w:rFonts w:asciiTheme="minorEastAsia" w:eastAsiaTheme="minorEastAsia" w:hAnsiTheme="minorEastAsia" w:cs="宋体"/>
          <w:kern w:val="0"/>
          <w:szCs w:val="24"/>
        </w:rPr>
        <w:t>6）基金管理人在履行适当程序后，基金推出新业务或新服务；</w:t>
      </w:r>
    </w:p>
    <w:p w14:paraId="01603CEA" w14:textId="6285146E" w:rsidR="00595296" w:rsidRPr="006F4D70" w:rsidRDefault="00631A89" w:rsidP="00631A89">
      <w:pPr>
        <w:autoSpaceDE w:val="0"/>
        <w:autoSpaceDN w:val="0"/>
        <w:adjustRightInd w:val="0"/>
        <w:ind w:firstLine="480"/>
        <w:rPr>
          <w:rFonts w:asciiTheme="minorEastAsia" w:eastAsiaTheme="minorEastAsia" w:hAnsiTheme="minorEastAsia" w:cs="宋体"/>
          <w:kern w:val="0"/>
          <w:szCs w:val="24"/>
        </w:rPr>
      </w:pPr>
      <w:r w:rsidRPr="00631A89">
        <w:rPr>
          <w:rFonts w:asciiTheme="minorEastAsia" w:eastAsiaTheme="minorEastAsia" w:hAnsiTheme="minorEastAsia" w:cs="宋体" w:hint="eastAsia"/>
          <w:kern w:val="0"/>
          <w:szCs w:val="24"/>
        </w:rPr>
        <w:t>（</w:t>
      </w:r>
      <w:r w:rsidRPr="00631A89">
        <w:rPr>
          <w:rFonts w:asciiTheme="minorEastAsia" w:eastAsiaTheme="minorEastAsia" w:hAnsiTheme="minorEastAsia" w:cs="宋体"/>
          <w:kern w:val="0"/>
          <w:szCs w:val="24"/>
        </w:rPr>
        <w:t>7）</w:t>
      </w:r>
      <w:r w:rsidR="002B7F4D" w:rsidRPr="006F4D70">
        <w:rPr>
          <w:rFonts w:asciiTheme="minorEastAsia" w:eastAsiaTheme="minorEastAsia" w:hAnsiTheme="minorEastAsia" w:cs="宋体" w:hint="eastAsia"/>
          <w:kern w:val="0"/>
          <w:szCs w:val="24"/>
        </w:rPr>
        <w:t>增加新的基金份额类别或调整基金份额分类规则；</w:t>
      </w:r>
    </w:p>
    <w:p w14:paraId="640D8D1C" w14:textId="438C9037" w:rsidR="00595296" w:rsidRPr="006F4D70" w:rsidRDefault="002B7F4D">
      <w:pPr>
        <w:autoSpaceDE w:val="0"/>
        <w:autoSpaceDN w:val="0"/>
        <w:adjustRightInd w:val="0"/>
        <w:ind w:firstLine="480"/>
        <w:rPr>
          <w:rFonts w:asciiTheme="minorEastAsia" w:eastAsiaTheme="minorEastAsia" w:hAnsiTheme="minorEastAsia"/>
        </w:rPr>
      </w:pPr>
      <w:r w:rsidRPr="006F4D70">
        <w:rPr>
          <w:rFonts w:asciiTheme="minorEastAsia" w:eastAsiaTheme="minorEastAsia" w:hAnsiTheme="minorEastAsia" w:cs="宋体" w:hint="eastAsia"/>
          <w:kern w:val="0"/>
          <w:szCs w:val="24"/>
        </w:rPr>
        <w:t>（</w:t>
      </w:r>
      <w:r w:rsidR="00631A89">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）按照法律法规和《基金合同》规定不需召开基金份额持有人大会的其他情形。</w:t>
      </w:r>
    </w:p>
    <w:p w14:paraId="76EB5C8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40" w:name="_Toc15641221"/>
      <w:bookmarkStart w:id="141" w:name="_Toc57530244"/>
      <w:bookmarkStart w:id="142" w:name="_Toc79392585"/>
      <w:r w:rsidRPr="006F4D70">
        <w:rPr>
          <w:rFonts w:asciiTheme="minorEastAsia" w:eastAsiaTheme="minorEastAsia" w:hAnsiTheme="minorEastAsia" w:cs="宋体" w:hint="eastAsia"/>
          <w:b/>
          <w:bCs/>
          <w:kern w:val="0"/>
          <w:szCs w:val="24"/>
        </w:rPr>
        <w:t>二、会议召集人及召集方式</w:t>
      </w:r>
      <w:bookmarkEnd w:id="140"/>
      <w:bookmarkEnd w:id="141"/>
      <w:bookmarkEnd w:id="142"/>
    </w:p>
    <w:p w14:paraId="3E49F89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143" w:name="_Toc15641222"/>
      <w:bookmarkStart w:id="144" w:name="_Toc57530245"/>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、除法律法规规定或《基金合同》另有约定外，基金份额持有人大会由基金管理人召集。</w:t>
      </w:r>
    </w:p>
    <w:p w14:paraId="36D3A1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、基金管理人未按规定召集或不能召集时，由基金托管人召集。</w:t>
      </w:r>
    </w:p>
    <w:p w14:paraId="6FDB757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、基金托管人认为有必要召开基金份额持有人大会的，应当向基金管理人提出书面提议。基金管理人应当自收到书面提议之日起</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日内决定是否召集，并书面告知基金托管人。基金管理人决定召集的，应当自出具书面决定之日起</w:t>
      </w:r>
      <w:r w:rsidRPr="006F4D70">
        <w:rPr>
          <w:rFonts w:asciiTheme="minorEastAsia" w:eastAsiaTheme="minorEastAsia" w:hAnsiTheme="minorEastAsia" w:cs="宋体"/>
          <w:kern w:val="0"/>
          <w:szCs w:val="24"/>
        </w:rPr>
        <w:t>60</w:t>
      </w:r>
      <w:r w:rsidRPr="006F4D70">
        <w:rPr>
          <w:rFonts w:asciiTheme="minorEastAsia" w:eastAsiaTheme="minorEastAsia" w:hAnsiTheme="minorEastAsia" w:cs="宋体" w:hint="eastAsia"/>
          <w:kern w:val="0"/>
          <w:szCs w:val="24"/>
        </w:rPr>
        <w:t>日内召开；基金管理人决定不召集，基金托管人仍认为有必要召开的，应当由基金托管人自行召集，并自出具书面决定之日起60日内召开并告知基金管理人，基金管理人应当配合。</w:t>
      </w:r>
    </w:p>
    <w:p w14:paraId="51365DE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、代表基金份额</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）的基金份额持有人就同一事项书面要求召开基金份额持有人大会，应当向基金管理人提出书面提议。基金管理人应当自收到书面提议之日起</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日内决定是否召集，并书面告知提出提议的基金份额持有人代表和基金托管人。基金管理人决定召集的，应当自出具书面决定之日起</w:t>
      </w:r>
      <w:r w:rsidRPr="006F4D70">
        <w:rPr>
          <w:rFonts w:asciiTheme="minorEastAsia" w:eastAsiaTheme="minorEastAsia" w:hAnsiTheme="minorEastAsia" w:cs="宋体"/>
          <w:kern w:val="0"/>
          <w:szCs w:val="24"/>
        </w:rPr>
        <w:t>60</w:t>
      </w:r>
      <w:r w:rsidRPr="006F4D70">
        <w:rPr>
          <w:rFonts w:asciiTheme="minorEastAsia" w:eastAsiaTheme="minorEastAsia" w:hAnsiTheme="minorEastAsia" w:cs="宋体" w:hint="eastAsia"/>
          <w:kern w:val="0"/>
          <w:szCs w:val="24"/>
        </w:rPr>
        <w:t>日内召开；基金管理人决定不召集，代表基金份额</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）的基金份额持有人仍认为有必要召开的，应当向基金托管人提出书面提议。基金托管人应当自收到书面提议之日起</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日内决定是否召集，并书面告知提出提议的基金份额持有人代表和基金管理人；基金托管人决定召集的，应当自出具书面决定之日起</w:t>
      </w:r>
      <w:r w:rsidRPr="006F4D70">
        <w:rPr>
          <w:rFonts w:asciiTheme="minorEastAsia" w:eastAsiaTheme="minorEastAsia" w:hAnsiTheme="minorEastAsia" w:cs="宋体"/>
          <w:kern w:val="0"/>
          <w:szCs w:val="24"/>
        </w:rPr>
        <w:t>60</w:t>
      </w:r>
      <w:r w:rsidRPr="006F4D70">
        <w:rPr>
          <w:rFonts w:asciiTheme="minorEastAsia" w:eastAsiaTheme="minorEastAsia" w:hAnsiTheme="minorEastAsia" w:cs="宋体" w:hint="eastAsia"/>
          <w:kern w:val="0"/>
          <w:szCs w:val="24"/>
        </w:rPr>
        <w:t>日内召开并告知基金管理人，基金管理人应当配合。</w:t>
      </w:r>
    </w:p>
    <w:p w14:paraId="2DBE252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5</w:t>
      </w:r>
      <w:r w:rsidRPr="006F4D70">
        <w:rPr>
          <w:rFonts w:asciiTheme="minorEastAsia" w:eastAsiaTheme="minorEastAsia" w:hAnsiTheme="minorEastAsia" w:cs="宋体" w:hint="eastAsia"/>
          <w:kern w:val="0"/>
          <w:szCs w:val="24"/>
        </w:rPr>
        <w:t>、代表基金份额</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）的基金份额持有人就同一事项要求召开基金份额持有人大会，而基金管理人、基金托管人都不召集的，单独或合计代表基金份额</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）的基金份额持有人有权自行召集，并至少提前</w:t>
      </w:r>
      <w:r w:rsidRPr="006F4D70">
        <w:rPr>
          <w:rFonts w:asciiTheme="minorEastAsia" w:eastAsiaTheme="minorEastAsia" w:hAnsiTheme="minorEastAsia" w:cs="宋体"/>
          <w:kern w:val="0"/>
          <w:szCs w:val="24"/>
        </w:rPr>
        <w:t>30</w:t>
      </w:r>
      <w:r w:rsidRPr="006F4D70">
        <w:rPr>
          <w:rFonts w:asciiTheme="minorEastAsia" w:eastAsiaTheme="minorEastAsia" w:hAnsiTheme="minorEastAsia" w:cs="宋体" w:hint="eastAsia"/>
          <w:kern w:val="0"/>
          <w:szCs w:val="24"/>
        </w:rPr>
        <w:t>日报中国证监会备案。基金份额持有人依法自行召集基金份额持有人大会的，基金管理人、基金托管人应当配合，不得阻碍、干扰。</w:t>
      </w:r>
    </w:p>
    <w:p w14:paraId="72A399F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、基金份额持有人会议的召集人负责选择确定开会时间、地点、方式和权益登记日。</w:t>
      </w:r>
    </w:p>
    <w:p w14:paraId="095661F0"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45" w:name="_Toc79392586"/>
      <w:r w:rsidRPr="006F4D70">
        <w:rPr>
          <w:rFonts w:asciiTheme="minorEastAsia" w:eastAsiaTheme="minorEastAsia" w:hAnsiTheme="minorEastAsia" w:cs="宋体" w:hint="eastAsia"/>
          <w:b/>
          <w:bCs/>
          <w:kern w:val="0"/>
          <w:szCs w:val="24"/>
        </w:rPr>
        <w:t>三、召开基金份额持有人大会的通知时间、通知内容、通知方式</w:t>
      </w:r>
      <w:bookmarkEnd w:id="143"/>
      <w:bookmarkEnd w:id="144"/>
      <w:bookmarkEnd w:id="145"/>
    </w:p>
    <w:p w14:paraId="51F7F97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、召开基金份额持有人大会，召集人应于会议召开前3</w:t>
      </w:r>
      <w:r w:rsidRPr="006F4D70">
        <w:rPr>
          <w:rFonts w:asciiTheme="minorEastAsia" w:eastAsiaTheme="minorEastAsia" w:hAnsiTheme="minorEastAsia" w:cs="宋体"/>
          <w:kern w:val="0"/>
          <w:szCs w:val="24"/>
        </w:rPr>
        <w:t>0</w:t>
      </w:r>
      <w:r w:rsidRPr="006F4D70">
        <w:rPr>
          <w:rFonts w:asciiTheme="minorEastAsia" w:eastAsiaTheme="minorEastAsia" w:hAnsiTheme="minorEastAsia" w:cs="宋体" w:hint="eastAsia"/>
          <w:kern w:val="0"/>
          <w:szCs w:val="24"/>
        </w:rPr>
        <w:t>日，在规定媒介公告。基金份额持有人大会通知应至少载明以下内容：</w:t>
      </w:r>
    </w:p>
    <w:p w14:paraId="312B57A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）会议召开的时间、地点和会议形式；</w:t>
      </w:r>
    </w:p>
    <w:p w14:paraId="66CE655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）会议拟审议的事项、议事程序和表决方式；</w:t>
      </w:r>
    </w:p>
    <w:p w14:paraId="1712222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）有权出席基金份额持有人大会的基金份额持有人的权益登记日；</w:t>
      </w:r>
    </w:p>
    <w:p w14:paraId="2DB6104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）授权委托证明的内容要求（包括但不限于代理人身份，代理权限和代理有效期限等）、送达时间和地点；</w:t>
      </w:r>
    </w:p>
    <w:p w14:paraId="3C9C791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）会务常设联系人姓名及联系电话；</w:t>
      </w:r>
    </w:p>
    <w:p w14:paraId="59DF6C9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）出席会议者必须准备的文件和必须履行的手续；</w:t>
      </w:r>
    </w:p>
    <w:p w14:paraId="6B56680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）召集人需要通知的其他事项。</w:t>
      </w:r>
    </w:p>
    <w:p w14:paraId="6CE28A3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、采取通讯开会方式并进行表决的情况下，由会议召集人决定在会议通知中说明本次基金份额持有人大会所采取的具体通讯方式</w:t>
      </w:r>
      <w:r w:rsidRPr="006F4D70">
        <w:rPr>
          <w:rFonts w:asciiTheme="minorEastAsia" w:eastAsiaTheme="minorEastAsia" w:hAnsiTheme="minorEastAsia" w:cs="simsun,bold" w:hint="eastAsia"/>
          <w:bCs/>
          <w:color w:val="000000"/>
          <w:kern w:val="0"/>
          <w:szCs w:val="24"/>
        </w:rPr>
        <w:t>及投票方式</w:t>
      </w:r>
      <w:r w:rsidRPr="006F4D70">
        <w:rPr>
          <w:rFonts w:asciiTheme="minorEastAsia" w:eastAsiaTheme="minorEastAsia" w:hAnsiTheme="minorEastAsia" w:cs="宋体" w:hint="eastAsia"/>
          <w:kern w:val="0"/>
          <w:szCs w:val="24"/>
        </w:rPr>
        <w:t>、委托的公证机关及其联系方式和联系人、表决意见提交的截止时间和收取方式。</w:t>
      </w:r>
    </w:p>
    <w:p w14:paraId="49DD7BE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0E74CF8"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46" w:name="_Toc57530246"/>
      <w:bookmarkStart w:id="147" w:name="_Toc79392587"/>
      <w:bookmarkStart w:id="148" w:name="_Toc15641223"/>
      <w:r w:rsidRPr="006F4D70">
        <w:rPr>
          <w:rFonts w:asciiTheme="minorEastAsia" w:eastAsiaTheme="minorEastAsia" w:hAnsiTheme="minorEastAsia" w:cs="宋体" w:hint="eastAsia"/>
          <w:b/>
          <w:bCs/>
          <w:kern w:val="0"/>
          <w:szCs w:val="24"/>
        </w:rPr>
        <w:t>四、基金份额持有人出席会议的方式</w:t>
      </w:r>
      <w:bookmarkEnd w:id="146"/>
      <w:bookmarkEnd w:id="147"/>
      <w:bookmarkEnd w:id="148"/>
    </w:p>
    <w:p w14:paraId="5480B03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基金份额持有人大会可通过现场开会方式、通讯开会方式或法律法规、监管</w:t>
      </w:r>
      <w:r w:rsidRPr="006F4D70">
        <w:rPr>
          <w:rFonts w:asciiTheme="minorEastAsia" w:eastAsiaTheme="minorEastAsia" w:hAnsiTheme="minorEastAsia" w:cs="宋体" w:hint="eastAsia"/>
          <w:kern w:val="0"/>
          <w:szCs w:val="24"/>
        </w:rPr>
        <w:lastRenderedPageBreak/>
        <w:t>机构允许的其他方式召开，会议的召开方式由会议召集人确定。</w:t>
      </w:r>
    </w:p>
    <w:p w14:paraId="67F4296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E654C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B500F4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w:t>
      </w:r>
      <w:r w:rsidRPr="006F4D70">
        <w:rPr>
          <w:rFonts w:asciiTheme="minorEastAsia" w:eastAsiaTheme="minorEastAsia" w:hAnsiTheme="minorEastAsia" w:cs="宋体"/>
          <w:kern w:val="0"/>
          <w:szCs w:val="24"/>
        </w:rPr>
        <w:t>分之一</w:t>
      </w:r>
      <w:r w:rsidRPr="006F4D70">
        <w:rPr>
          <w:rFonts w:asciiTheme="minorEastAsia" w:eastAsiaTheme="minorEastAsia" w:hAnsiTheme="minorEastAsia" w:cs="宋体" w:hint="eastAsia"/>
          <w:kern w:val="0"/>
          <w:szCs w:val="24"/>
        </w:rPr>
        <w:t>）。</w:t>
      </w:r>
    </w:p>
    <w:p w14:paraId="596698E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、通讯开会。通讯开会系指基金份额持有人将其对表决事项的投票以书面形式或大会公告载明的其他方式在表决截止日以前提交至召集人指定的地址或系统。通讯开会应以书面方式或大会公告载明的其他</w:t>
      </w:r>
      <w:r w:rsidRPr="006F4D70">
        <w:rPr>
          <w:rFonts w:asciiTheme="minorEastAsia" w:eastAsiaTheme="minorEastAsia" w:hAnsiTheme="minorEastAsia" w:hint="eastAsia"/>
          <w:kern w:val="0"/>
          <w:szCs w:val="24"/>
        </w:rPr>
        <w:t>方式</w:t>
      </w:r>
      <w:r w:rsidRPr="006F4D70">
        <w:rPr>
          <w:rFonts w:asciiTheme="minorEastAsia" w:eastAsiaTheme="minorEastAsia" w:hAnsiTheme="minorEastAsia" w:cs="宋体" w:hint="eastAsia"/>
          <w:kern w:val="0"/>
          <w:szCs w:val="24"/>
        </w:rPr>
        <w:t>进行表决。</w:t>
      </w:r>
    </w:p>
    <w:p w14:paraId="50043FF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在同时符合以下条件时，通讯开会的方式视为有效：</w:t>
      </w:r>
    </w:p>
    <w:p w14:paraId="4E16B81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）会议召集人按《基金合同》约定公布会议通知后，在2个工作日内连续公布相关提示性公告；</w:t>
      </w:r>
    </w:p>
    <w:p w14:paraId="58A1A15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BB6CBDC" w14:textId="469FD699" w:rsidR="00595296" w:rsidRPr="006F4D70" w:rsidRDefault="002B7F4D">
      <w:pPr>
        <w:autoSpaceDE w:val="0"/>
        <w:autoSpaceDN w:val="0"/>
        <w:adjustRightInd w:val="0"/>
        <w:ind w:firstLine="480"/>
        <w:rPr>
          <w:rFonts w:asciiTheme="minorEastAsia" w:eastAsiaTheme="minorEastAsia" w:hAnsiTheme="minorEastAsia"/>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）本人直接出具表决意见或授权他人代表出具表决意见的，基金份额持有人所持有的基金份额不小于在权益登记日基金总份额的二分之一（含二分之</w:t>
      </w:r>
      <w:r w:rsidRPr="006F4D70">
        <w:rPr>
          <w:rFonts w:asciiTheme="minorEastAsia" w:eastAsiaTheme="minorEastAsia" w:hAnsiTheme="minorEastAsia" w:cs="宋体" w:hint="eastAsia"/>
          <w:kern w:val="0"/>
          <w:szCs w:val="24"/>
        </w:rPr>
        <w:lastRenderedPageBreak/>
        <w:t>一）；</w:t>
      </w:r>
      <w:r w:rsidRPr="006F4D70">
        <w:rPr>
          <w:rFonts w:asciiTheme="minorEastAsia" w:eastAsiaTheme="minorEastAsia" w:hAnsiTheme="minorEastAsia" w:hint="eastAsia"/>
          <w:kern w:val="0"/>
          <w:szCs w:val="24"/>
        </w:rPr>
        <w:t>若本人直接出具表决意见或授权他人代表出具表决意见</w:t>
      </w:r>
      <w:r w:rsidR="00FB721A">
        <w:rPr>
          <w:rFonts w:asciiTheme="minorEastAsia" w:eastAsiaTheme="minorEastAsia" w:hAnsiTheme="minorEastAsia" w:hint="eastAsia"/>
          <w:kern w:val="0"/>
          <w:szCs w:val="24"/>
        </w:rPr>
        <w:t>的</w:t>
      </w:r>
      <w:r w:rsidRPr="006F4D70">
        <w:rPr>
          <w:rFonts w:asciiTheme="minorEastAsia" w:eastAsiaTheme="minorEastAsia" w:hAnsiTheme="minorEastAsia" w:hint="eastAsia"/>
          <w:kern w:val="0"/>
          <w:szCs w:val="24"/>
        </w:rPr>
        <w:t>基金份额持有人所持有的基金份额小于在权益登记日基金总份额的二分之一</w:t>
      </w:r>
      <w:r w:rsidRPr="006F4D70">
        <w:rPr>
          <w:rFonts w:asciiTheme="minorEastAsia" w:eastAsiaTheme="minorEastAsia" w:hAnsiTheme="minorEastAsia" w:cs="宋体" w:hint="eastAsia"/>
          <w:kern w:val="0"/>
          <w:szCs w:val="24"/>
        </w:rPr>
        <w:t>，召集人可以在原公告的</w:t>
      </w:r>
      <w:r w:rsidRPr="006F4D70">
        <w:rPr>
          <w:rFonts w:asciiTheme="minorEastAsia" w:eastAsiaTheme="minorEastAsia" w:hAnsiTheme="minorEastAsia" w:cs="宋体" w:hint="eastAsia"/>
          <w:bCs/>
          <w:kern w:val="0"/>
          <w:szCs w:val="24"/>
        </w:rPr>
        <w:t>基金份额持有人大会召开时间</w:t>
      </w:r>
      <w:r w:rsidRPr="006F4D70">
        <w:rPr>
          <w:rFonts w:asciiTheme="minorEastAsia" w:eastAsiaTheme="minorEastAsia" w:hAnsiTheme="minorEastAsia" w:cs="宋体" w:hint="eastAsia"/>
          <w:kern w:val="0"/>
          <w:szCs w:val="24"/>
        </w:rPr>
        <w:t>的3个月以后、6个月以内，就原定审议事项重新召集基金份额持有人大会。重新召集的基金份额持有人大会应当有代表三分之一以上（含三</w:t>
      </w:r>
      <w:r w:rsidRPr="006F4D70">
        <w:rPr>
          <w:rFonts w:asciiTheme="minorEastAsia" w:eastAsiaTheme="minorEastAsia" w:hAnsiTheme="minorEastAsia" w:cs="宋体"/>
          <w:kern w:val="0"/>
          <w:szCs w:val="24"/>
        </w:rPr>
        <w:t>分之一</w:t>
      </w:r>
      <w:r w:rsidRPr="006F4D70">
        <w:rPr>
          <w:rFonts w:asciiTheme="minorEastAsia" w:eastAsiaTheme="minorEastAsia" w:hAnsiTheme="minorEastAsia" w:cs="宋体" w:hint="eastAsia"/>
          <w:kern w:val="0"/>
          <w:szCs w:val="24"/>
        </w:rPr>
        <w:t>）基金份额的</w:t>
      </w:r>
      <w:r w:rsidR="00FB721A" w:rsidRPr="006F4D70">
        <w:rPr>
          <w:rFonts w:asciiTheme="minorEastAsia" w:eastAsiaTheme="minorEastAsia" w:hAnsiTheme="minorEastAsia" w:cs="宋体" w:hint="eastAsia"/>
          <w:kern w:val="0"/>
          <w:szCs w:val="24"/>
        </w:rPr>
        <w:t>基金份额</w:t>
      </w:r>
      <w:r w:rsidRPr="006F4D70">
        <w:rPr>
          <w:rFonts w:asciiTheme="minorEastAsia" w:eastAsiaTheme="minorEastAsia" w:hAnsiTheme="minorEastAsia" w:cs="宋体" w:hint="eastAsia"/>
          <w:kern w:val="0"/>
          <w:szCs w:val="24"/>
        </w:rPr>
        <w:t>持有人</w:t>
      </w:r>
      <w:r w:rsidRPr="006F4D70">
        <w:rPr>
          <w:rFonts w:asciiTheme="minorEastAsia" w:eastAsiaTheme="minorEastAsia" w:hAnsiTheme="minorEastAsia" w:hint="eastAsia"/>
          <w:kern w:val="0"/>
          <w:szCs w:val="24"/>
        </w:rPr>
        <w:t>直接</w:t>
      </w:r>
      <w:r w:rsidRPr="006F4D70">
        <w:rPr>
          <w:rFonts w:asciiTheme="minorEastAsia" w:eastAsiaTheme="minorEastAsia" w:hAnsiTheme="minorEastAsia" w:cs="宋体" w:hint="eastAsia"/>
          <w:kern w:val="0"/>
          <w:szCs w:val="24"/>
        </w:rPr>
        <w:t>出具表决意见</w:t>
      </w:r>
      <w:r w:rsidRPr="006F4D70">
        <w:rPr>
          <w:rFonts w:asciiTheme="minorEastAsia" w:eastAsiaTheme="minorEastAsia" w:hAnsiTheme="minorEastAsia" w:hint="eastAsia"/>
          <w:kern w:val="0"/>
          <w:szCs w:val="24"/>
        </w:rPr>
        <w:t>或授权他人代表出具表决意见；</w:t>
      </w:r>
    </w:p>
    <w:p w14:paraId="3EB7A78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）上述第（</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需符合法律法规、《基金合同》和会议通知的规定，并与基金登记机构记录相符。</w:t>
      </w:r>
    </w:p>
    <w:p w14:paraId="26A33333" w14:textId="544A1ABE"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3、在法律法规和监管机关允许的情况下，</w:t>
      </w:r>
      <w:r w:rsidR="00FB721A" w:rsidRPr="00FB721A">
        <w:rPr>
          <w:rFonts w:asciiTheme="minorEastAsia" w:eastAsiaTheme="minorEastAsia" w:hAnsiTheme="minorEastAsia" w:cs="宋体" w:hint="eastAsia"/>
          <w:kern w:val="0"/>
          <w:szCs w:val="24"/>
        </w:rPr>
        <w:t>经会议通知载明，</w:t>
      </w:r>
      <w:r w:rsidRPr="006F4D70">
        <w:rPr>
          <w:rFonts w:asciiTheme="minorEastAsia" w:eastAsiaTheme="minorEastAsia" w:hAnsiTheme="minorEastAsia" w:cs="宋体" w:hint="eastAsia"/>
          <w:kern w:val="0"/>
          <w:szCs w:val="24"/>
        </w:rPr>
        <w:t>本基金的基金份额持有人可采用网络、电话、短信等其他非</w:t>
      </w:r>
      <w:r w:rsidR="00FB721A">
        <w:rPr>
          <w:rFonts w:asciiTheme="minorEastAsia" w:eastAsiaTheme="minorEastAsia" w:hAnsiTheme="minorEastAsia" w:cs="宋体" w:hint="eastAsia"/>
          <w:kern w:val="0"/>
          <w:szCs w:val="24"/>
        </w:rPr>
        <w:t>现场</w:t>
      </w:r>
      <w:r w:rsidRPr="006F4D70">
        <w:rPr>
          <w:rFonts w:asciiTheme="minorEastAsia" w:eastAsiaTheme="minorEastAsia" w:hAnsiTheme="minorEastAsia" w:cs="宋体" w:hint="eastAsia"/>
          <w:kern w:val="0"/>
          <w:szCs w:val="24"/>
        </w:rPr>
        <w:t>方式</w:t>
      </w:r>
      <w:r w:rsidR="00FB721A" w:rsidRPr="00FB721A">
        <w:rPr>
          <w:rFonts w:asciiTheme="minorEastAsia" w:eastAsiaTheme="minorEastAsia" w:hAnsiTheme="minorEastAsia" w:cs="宋体" w:hint="eastAsia"/>
          <w:kern w:val="0"/>
          <w:szCs w:val="24"/>
        </w:rPr>
        <w:t>进行表决，或者采用网络、电话、短信等其他非现场方式</w:t>
      </w:r>
      <w:r w:rsidRPr="006F4D70">
        <w:rPr>
          <w:rFonts w:asciiTheme="minorEastAsia" w:eastAsiaTheme="minorEastAsia" w:hAnsiTheme="minorEastAsia" w:cs="宋体" w:hint="eastAsia"/>
          <w:kern w:val="0"/>
          <w:szCs w:val="24"/>
        </w:rPr>
        <w:t>授权其代理人出席基金份额持有人大会；在会议召开方式上，本基金亦可采用网络、电话、短信等其他非现场方式或者以非现场方式与现场方式结合的方式召开基金份额持有人大会，会议程序比照现场开会和通讯方式开会的程序进行。</w:t>
      </w:r>
    </w:p>
    <w:p w14:paraId="5DEFEBBD"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49" w:name="_Toc79392588"/>
      <w:bookmarkStart w:id="150" w:name="_Toc57530247"/>
      <w:bookmarkStart w:id="151" w:name="_Toc15641224"/>
      <w:r w:rsidRPr="006F4D70">
        <w:rPr>
          <w:rFonts w:asciiTheme="minorEastAsia" w:eastAsiaTheme="minorEastAsia" w:hAnsiTheme="minorEastAsia" w:cs="宋体" w:hint="eastAsia"/>
          <w:b/>
          <w:bCs/>
          <w:kern w:val="0"/>
          <w:szCs w:val="24"/>
        </w:rPr>
        <w:t>五、议事内容与程序</w:t>
      </w:r>
      <w:bookmarkEnd w:id="149"/>
      <w:bookmarkEnd w:id="150"/>
      <w:bookmarkEnd w:id="151"/>
    </w:p>
    <w:p w14:paraId="5833A50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、议事内容及提案权</w:t>
      </w:r>
    </w:p>
    <w:p w14:paraId="504FB312"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C95A118"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基金份额持有人大会的召集人发出召集会议的通知后，对原有提案的修改应当在基金份额持有人大会召开前及时公告。</w:t>
      </w:r>
    </w:p>
    <w:p w14:paraId="3351CA3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基金份额持有人大会不得对未事先公告的议事内容进行表决。</w:t>
      </w:r>
    </w:p>
    <w:p w14:paraId="63C8930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、议事程序</w:t>
      </w:r>
    </w:p>
    <w:p w14:paraId="20BD399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）现场开会</w:t>
      </w:r>
    </w:p>
    <w:p w14:paraId="16579C6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在现场开会的方式下，首先由大会主持人按照下列第七条规定程序确定和公布监票人，然后由大会主持人宣读提案，经讨论后进行表决，并形成大会决议。</w:t>
      </w:r>
      <w:r w:rsidRPr="006F4D70">
        <w:rPr>
          <w:rFonts w:asciiTheme="minorEastAsia" w:eastAsiaTheme="minorEastAsia" w:hAnsiTheme="minorEastAsia" w:cs="宋体" w:hint="eastAsia"/>
          <w:kern w:val="0"/>
          <w:szCs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F4D70">
        <w:rPr>
          <w:rFonts w:asciiTheme="minorEastAsia" w:eastAsiaTheme="minorEastAsia" w:hAnsiTheme="minorEastAsia" w:cs="宋体"/>
          <w:kern w:val="0"/>
          <w:szCs w:val="24"/>
        </w:rPr>
        <w:t>50%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50%</w:t>
      </w:r>
      <w:r w:rsidRPr="006F4D70">
        <w:rPr>
          <w:rFonts w:asciiTheme="minorEastAsia" w:eastAsiaTheme="minorEastAsia" w:hAnsiTheme="minorEastAsia" w:cs="宋体" w:hint="eastAsia"/>
          <w:kern w:val="0"/>
          <w:szCs w:val="24"/>
        </w:rPr>
        <w:t>）选举产生一名基金份额持有人作为该次基金份额持有人大会的主持人。基金管理人和基金托管人拒不出席或主持基金份额持有人大会，不影响基金份额持有人大会作出的决议的效力。</w:t>
      </w:r>
    </w:p>
    <w:p w14:paraId="3A1875A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会议召集人应当制作出席会议人员的签名册。签名册载明参加会议人员姓名（或单位名称）、身份证明文件号码、持有或代表有表决权的基金份额、委托人姓名（或单位名称）和联系方式等事项。</w:t>
      </w:r>
    </w:p>
    <w:p w14:paraId="576798F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）通讯开会</w:t>
      </w:r>
    </w:p>
    <w:p w14:paraId="3C64D04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在通讯开会的情况下，首先由召集人提前</w:t>
      </w:r>
      <w:r w:rsidRPr="006F4D70">
        <w:rPr>
          <w:rFonts w:asciiTheme="minorEastAsia" w:eastAsiaTheme="minorEastAsia" w:hAnsiTheme="minorEastAsia" w:cs="宋体"/>
          <w:kern w:val="0"/>
          <w:szCs w:val="24"/>
        </w:rPr>
        <w:t>30</w:t>
      </w:r>
      <w:r w:rsidRPr="006F4D70">
        <w:rPr>
          <w:rFonts w:asciiTheme="minorEastAsia" w:eastAsiaTheme="minorEastAsia" w:hAnsiTheme="minorEastAsia" w:cs="宋体" w:hint="eastAsia"/>
          <w:kern w:val="0"/>
          <w:szCs w:val="24"/>
        </w:rPr>
        <w:t>日公布提案，在所通知的表决截止日期后</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个工作日内在公证机关监督下由召集人统计全部有效表决，在公证机关监督下形成决议。</w:t>
      </w:r>
    </w:p>
    <w:p w14:paraId="0297916F"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52" w:name="_Toc15641225"/>
      <w:bookmarkStart w:id="153" w:name="_Toc79392589"/>
      <w:bookmarkStart w:id="154" w:name="_Toc57530248"/>
      <w:r w:rsidRPr="006F4D70">
        <w:rPr>
          <w:rFonts w:asciiTheme="minorEastAsia" w:eastAsiaTheme="minorEastAsia" w:hAnsiTheme="minorEastAsia" w:cs="宋体" w:hint="eastAsia"/>
          <w:b/>
          <w:bCs/>
          <w:kern w:val="0"/>
          <w:szCs w:val="24"/>
        </w:rPr>
        <w:t>六、表决</w:t>
      </w:r>
      <w:bookmarkEnd w:id="152"/>
      <w:bookmarkEnd w:id="153"/>
      <w:bookmarkEnd w:id="154"/>
    </w:p>
    <w:p w14:paraId="0BB30E0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基金份额持有人所持每份基金份额有一票表决权。</w:t>
      </w:r>
    </w:p>
    <w:p w14:paraId="6F2E70B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基金份额持有人大会决议分为一般决议和特别决议：</w:t>
      </w:r>
    </w:p>
    <w:p w14:paraId="63A83B6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、一般决议，一般决议须经参加大会的基金份额持有人或其代理人所持表决权的二分之一以上（含二分之一）通过方为有效；除下列第</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项所规定的须以特别决议通过事项以外的其他事项均以一般决议的方式通过。</w:t>
      </w:r>
    </w:p>
    <w:p w14:paraId="47FC8C7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3EA51F6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基金份额持有人大会采取记名方式进行投票表决。</w:t>
      </w:r>
    </w:p>
    <w:p w14:paraId="5FB25D0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8A8A31F" w14:textId="6CE8D327" w:rsidR="00595296"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基金份额持有人大会的各项提案或同一项提案内并列的各项议题应当分开</w:t>
      </w:r>
      <w:r w:rsidRPr="006F4D70">
        <w:rPr>
          <w:rFonts w:asciiTheme="minorEastAsia" w:eastAsiaTheme="minorEastAsia" w:hAnsiTheme="minorEastAsia" w:cs="宋体" w:hint="eastAsia"/>
          <w:kern w:val="0"/>
          <w:szCs w:val="24"/>
        </w:rPr>
        <w:lastRenderedPageBreak/>
        <w:t>审议、逐项表决。</w:t>
      </w:r>
    </w:p>
    <w:p w14:paraId="3AF960CD" w14:textId="0456BC43" w:rsidR="00FB721A" w:rsidRPr="006F4D70" w:rsidRDefault="00FB721A">
      <w:pPr>
        <w:autoSpaceDE w:val="0"/>
        <w:autoSpaceDN w:val="0"/>
        <w:adjustRightInd w:val="0"/>
        <w:ind w:firstLine="480"/>
        <w:rPr>
          <w:rFonts w:asciiTheme="minorEastAsia" w:eastAsiaTheme="minorEastAsia" w:hAnsiTheme="minorEastAsia" w:cs="宋体"/>
          <w:kern w:val="0"/>
          <w:szCs w:val="24"/>
        </w:rPr>
      </w:pPr>
      <w:r w:rsidRPr="00FB721A">
        <w:rPr>
          <w:rFonts w:asciiTheme="minorEastAsia" w:eastAsiaTheme="minorEastAsia" w:hAnsiTheme="minorEastAsia" w:cs="宋体" w:hint="eastAsia"/>
          <w:kern w:val="0"/>
          <w:szCs w:val="24"/>
        </w:rPr>
        <w:t>在符合上述规则的前提下，具体规则以召集人发布的基金份额持有人大会通知为准。</w:t>
      </w:r>
    </w:p>
    <w:p w14:paraId="5886CF9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55" w:name="_Toc57530249"/>
      <w:bookmarkStart w:id="156" w:name="_Toc79392590"/>
      <w:bookmarkStart w:id="157" w:name="_Toc15641226"/>
      <w:r w:rsidRPr="006F4D70">
        <w:rPr>
          <w:rFonts w:asciiTheme="minorEastAsia" w:eastAsiaTheme="minorEastAsia" w:hAnsiTheme="minorEastAsia" w:cs="宋体" w:hint="eastAsia"/>
          <w:b/>
          <w:bCs/>
          <w:kern w:val="0"/>
          <w:szCs w:val="24"/>
        </w:rPr>
        <w:t>七、计票</w:t>
      </w:r>
      <w:bookmarkEnd w:id="155"/>
      <w:bookmarkEnd w:id="156"/>
      <w:bookmarkEnd w:id="157"/>
    </w:p>
    <w:p w14:paraId="46D6292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、现场开会</w:t>
      </w:r>
    </w:p>
    <w:p w14:paraId="20F55C1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FDB9F0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）监票人应当在基金份额持有人表决后立即进行清点并由大会主持人当场公布计票结果。</w:t>
      </w:r>
    </w:p>
    <w:p w14:paraId="2771796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474A7F5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）计票过程应由公证机关予以公证，基金管理人或基金托管人拒不出席大会的，不影响计票的效力。</w:t>
      </w:r>
    </w:p>
    <w:p w14:paraId="1004052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、通讯开会</w:t>
      </w:r>
    </w:p>
    <w:p w14:paraId="0547374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58" w:name="_Toc15641227"/>
      <w:bookmarkStart w:id="159" w:name="_Toc57530250"/>
      <w:bookmarkStart w:id="160" w:name="_Toc79392591"/>
      <w:r w:rsidRPr="006F4D70">
        <w:rPr>
          <w:rFonts w:asciiTheme="minorEastAsia" w:eastAsiaTheme="minorEastAsia" w:hAnsiTheme="minorEastAsia" w:cs="宋体" w:hint="eastAsia"/>
          <w:kern w:val="0"/>
          <w:szCs w:val="24"/>
        </w:rPr>
        <w:t>。基金管理人或基金托管人拒派代表对表决意见的计票进行监督的，不影响计票和表决结果。</w:t>
      </w:r>
    </w:p>
    <w:p w14:paraId="1820BE3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八、生效与公告</w:t>
      </w:r>
      <w:bookmarkEnd w:id="158"/>
      <w:bookmarkEnd w:id="159"/>
      <w:bookmarkEnd w:id="160"/>
    </w:p>
    <w:p w14:paraId="3B2F186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基金份额持有人大会的决议，召集人应当自通过之日起</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日内报中国证监会备案。</w:t>
      </w:r>
    </w:p>
    <w:p w14:paraId="18C7227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基金份额持有人大会的决议自表决通过之日起生效。</w:t>
      </w:r>
    </w:p>
    <w:p w14:paraId="2A833323" w14:textId="682CBC62"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基金份额持有人大会决议自生效之日起</w:t>
      </w:r>
      <w:r w:rsidR="00FB721A">
        <w:rPr>
          <w:rFonts w:asciiTheme="minorEastAsia" w:eastAsiaTheme="minorEastAsia" w:hAnsiTheme="minorEastAsia" w:cs="宋体" w:hint="eastAsia"/>
          <w:kern w:val="0"/>
          <w:szCs w:val="24"/>
        </w:rPr>
        <w:t>按规定</w:t>
      </w:r>
      <w:r w:rsidRPr="006F4D70">
        <w:rPr>
          <w:rFonts w:asciiTheme="minorEastAsia" w:eastAsiaTheme="minorEastAsia" w:hAnsiTheme="minorEastAsia" w:cs="宋体" w:hint="eastAsia"/>
          <w:kern w:val="0"/>
          <w:szCs w:val="24"/>
        </w:rPr>
        <w:t>在规定媒介上公告。</w:t>
      </w:r>
      <w:bookmarkStart w:id="161" w:name="_Hlt88820702"/>
      <w:bookmarkEnd w:id="161"/>
      <w:r w:rsidRPr="006F4D70">
        <w:rPr>
          <w:rFonts w:asciiTheme="minorEastAsia" w:eastAsiaTheme="minorEastAsia" w:hAnsiTheme="minorEastAsia" w:cs="宋体" w:hint="eastAsia"/>
          <w:kern w:val="0"/>
          <w:szCs w:val="24"/>
        </w:rPr>
        <w:t>如果采用通讯方式进行表决，在公告基金份额持有人大会决议时，必须将公证书全文、公证机构、公证员姓名等一同公告。</w:t>
      </w:r>
    </w:p>
    <w:p w14:paraId="064D86C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基金管理人、基金托管人和基金份额持有人应当执行生效的基金份额持有人大会的决议。生效的基金份额持有人大会决议对全体基金份额持有人、基金管理人、基金托管人均有约束力。</w:t>
      </w:r>
    </w:p>
    <w:p w14:paraId="67376710"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九、实施侧袋机制期间基金份额持有人大会的特殊约定</w:t>
      </w:r>
    </w:p>
    <w:p w14:paraId="5379BF8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0B6964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1、基金份额持有人行使提议权、召集权、提名权所需单独或合计代表相关基金份额10%以上（含10%）；</w:t>
      </w:r>
    </w:p>
    <w:p w14:paraId="77AF3C7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2、现场开会的到会者在权益登记日代表的基金份额不少于本基金在权益登记日相关基金份额的二分之一（含二分之一）；</w:t>
      </w:r>
    </w:p>
    <w:p w14:paraId="18B0717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3、通讯开会的直接出具表决意见或授权他人代表出具表决意见的基金份额持有人所持有的基金份额不小于在权益登记日相关基金份额的二分之一（含二分之一）；</w:t>
      </w:r>
    </w:p>
    <w:p w14:paraId="43FC959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C040C7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5、现场开会由出席大会的基金份额持有人和代理人所持表决权的50%以上（含50%）选举产生一名基金份额持有人作为该次基金份额持有人大会的主持人；</w:t>
      </w:r>
    </w:p>
    <w:p w14:paraId="525EEAB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6、一般决议须经参加大会的基金份额持有人或其代理人所持表决权的二分之一以上（含二分之一）通过；</w:t>
      </w:r>
    </w:p>
    <w:p w14:paraId="1E5EBB1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7、特别决议应当经参加大会的基金份额持有人或其代理人所持表决权的三分之二以上（含三分之二）通过。</w:t>
      </w:r>
    </w:p>
    <w:p w14:paraId="79803CF8" w14:textId="77777777" w:rsidR="00FB721A" w:rsidRPr="00FB721A" w:rsidRDefault="00FB721A" w:rsidP="00FB721A">
      <w:pPr>
        <w:autoSpaceDE w:val="0"/>
        <w:autoSpaceDN w:val="0"/>
        <w:adjustRightInd w:val="0"/>
        <w:ind w:firstLine="480"/>
        <w:rPr>
          <w:rFonts w:asciiTheme="minorEastAsia" w:eastAsiaTheme="minorEastAsia" w:hAnsiTheme="minorEastAsia" w:cs="宋体"/>
          <w:kern w:val="0"/>
          <w:szCs w:val="24"/>
        </w:rPr>
      </w:pPr>
      <w:r w:rsidRPr="00FB721A">
        <w:rPr>
          <w:rFonts w:asciiTheme="minorEastAsia" w:eastAsiaTheme="minorEastAsia" w:hAnsiTheme="minorEastAsia" w:cs="宋体" w:hint="eastAsia"/>
          <w:kern w:val="0"/>
          <w:szCs w:val="24"/>
        </w:rPr>
        <w:lastRenderedPageBreak/>
        <w:t>侧袋机制实施期间，基金份额持有人大会审议事项涉及主袋账户和侧袋账户的，应分别由主袋账户、侧袋账户的基金份额持有人进行表决，</w:t>
      </w:r>
      <w:r w:rsidR="002B7F4D" w:rsidRPr="006F4D70">
        <w:rPr>
          <w:rFonts w:asciiTheme="minorEastAsia" w:eastAsiaTheme="minorEastAsia" w:hAnsiTheme="minorEastAsia" w:cs="宋体" w:hint="eastAsia"/>
          <w:kern w:val="0"/>
          <w:szCs w:val="24"/>
        </w:rPr>
        <w:t>同一主侧袋账户内的每份基金份额具有平等的表决权。</w:t>
      </w:r>
      <w:r w:rsidRPr="00FB721A">
        <w:rPr>
          <w:rFonts w:asciiTheme="minorEastAsia" w:eastAsiaTheme="minorEastAsia" w:hAnsiTheme="minorEastAsia" w:cs="宋体" w:hint="eastAsia"/>
          <w:kern w:val="0"/>
          <w:szCs w:val="24"/>
        </w:rPr>
        <w:t>表决事项未涉及侧袋账户的，侧袋账户份额无表决权。</w:t>
      </w:r>
    </w:p>
    <w:p w14:paraId="333BD73E" w14:textId="47AFFE3D" w:rsidR="00595296" w:rsidRPr="006F4D70" w:rsidRDefault="00FB721A" w:rsidP="00FB721A">
      <w:pPr>
        <w:autoSpaceDE w:val="0"/>
        <w:autoSpaceDN w:val="0"/>
        <w:adjustRightInd w:val="0"/>
        <w:ind w:firstLine="480"/>
        <w:rPr>
          <w:rFonts w:asciiTheme="minorEastAsia" w:eastAsiaTheme="minorEastAsia" w:hAnsiTheme="minorEastAsia" w:cs="宋体"/>
          <w:kern w:val="0"/>
          <w:szCs w:val="24"/>
        </w:rPr>
      </w:pPr>
      <w:r w:rsidRPr="00FB721A">
        <w:rPr>
          <w:rFonts w:asciiTheme="minorEastAsia" w:eastAsiaTheme="minorEastAsia" w:hAnsiTheme="minorEastAsia" w:cs="宋体" w:hint="eastAsia"/>
          <w:kern w:val="0"/>
          <w:szCs w:val="24"/>
        </w:rPr>
        <w:t>侧袋机制实施期间，关于基金份额持有人大会的相关规定以本节特殊约定内容为准，本节没有规定的适用本部分的相关规定。</w:t>
      </w:r>
    </w:p>
    <w:p w14:paraId="19BD2B5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162" w:name="_Toc15118245"/>
      <w:bookmarkStart w:id="163" w:name="_Toc57530252"/>
      <w:bookmarkStart w:id="164" w:name="_Toc79392593"/>
      <w:r w:rsidRPr="006F4D70">
        <w:rPr>
          <w:rFonts w:asciiTheme="minorEastAsia" w:eastAsiaTheme="minorEastAsia" w:hAnsiTheme="minorEastAsia" w:cs="宋体" w:hint="eastAsia"/>
          <w:kern w:val="0"/>
          <w:szCs w:val="24"/>
        </w:rPr>
        <w:t>十、本部分关于基金份额持有人大会召开事由、召开条件、议事程序、表决条件等规定，凡是直接引用法律法规或监管规则的部分，如将来法律法规或监管规则修改导致相关内容被取消或变更的，基金管理人</w:t>
      </w:r>
      <w:r w:rsidRPr="006F4D70">
        <w:rPr>
          <w:rFonts w:asciiTheme="minorEastAsia" w:eastAsiaTheme="minorEastAsia" w:hAnsiTheme="minorEastAsia" w:cs="宋体" w:hint="eastAsia"/>
          <w:bCs/>
          <w:kern w:val="0"/>
          <w:szCs w:val="24"/>
        </w:rPr>
        <w:t>与基金托管人协商一致并</w:t>
      </w:r>
      <w:r w:rsidRPr="006F4D70">
        <w:rPr>
          <w:rFonts w:asciiTheme="minorEastAsia" w:eastAsiaTheme="minorEastAsia" w:hAnsiTheme="minorEastAsia" w:cs="宋体" w:hint="eastAsia"/>
          <w:kern w:val="0"/>
          <w:szCs w:val="24"/>
        </w:rPr>
        <w:t>提前公告后，可直接对本部分内容进行修改和调整，无需召开基金份额持有人大会审议。</w:t>
      </w:r>
      <w:bookmarkEnd w:id="118"/>
      <w:r w:rsidRPr="006F4D70">
        <w:rPr>
          <w:rFonts w:asciiTheme="minorEastAsia" w:eastAsiaTheme="minorEastAsia" w:hAnsiTheme="minorEastAsia" w:cs="宋体"/>
          <w:kern w:val="0"/>
          <w:szCs w:val="24"/>
        </w:rPr>
        <w:br w:type="page"/>
      </w:r>
    </w:p>
    <w:p w14:paraId="093526FE" w14:textId="77777777" w:rsidR="00595296" w:rsidRPr="006F4D70" w:rsidRDefault="002B7F4D">
      <w:pPr>
        <w:pStyle w:val="1"/>
        <w:ind w:firstLine="602"/>
        <w:rPr>
          <w:rFonts w:asciiTheme="minorEastAsia" w:eastAsiaTheme="minorEastAsia" w:hAnsiTheme="minorEastAsia"/>
        </w:rPr>
      </w:pPr>
      <w:bookmarkStart w:id="165" w:name="_Toc377998624"/>
      <w:bookmarkStart w:id="166" w:name="_Toc198902621"/>
      <w:bookmarkEnd w:id="136"/>
      <w:r w:rsidRPr="006F4D70">
        <w:rPr>
          <w:rFonts w:asciiTheme="minorEastAsia" w:eastAsiaTheme="minorEastAsia" w:hAnsiTheme="minorEastAsia" w:hint="eastAsia"/>
        </w:rPr>
        <w:lastRenderedPageBreak/>
        <w:t>第九部分    基金管理人、基金托管人的更换条件和程序</w:t>
      </w:r>
      <w:bookmarkEnd w:id="165"/>
      <w:bookmarkEnd w:id="166"/>
    </w:p>
    <w:p w14:paraId="5725851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一、基金管理人和基金托管人职责终止的情形</w:t>
      </w:r>
      <w:bookmarkEnd w:id="162"/>
      <w:bookmarkEnd w:id="163"/>
      <w:bookmarkEnd w:id="164"/>
    </w:p>
    <w:p w14:paraId="556F7A4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67" w:name="_Toc22005971"/>
      <w:r w:rsidRPr="006F4D70">
        <w:rPr>
          <w:rFonts w:asciiTheme="minorEastAsia" w:eastAsiaTheme="minorEastAsia" w:hAnsiTheme="minorEastAsia" w:cs="宋体" w:hint="eastAsia"/>
          <w:b/>
          <w:bCs/>
          <w:kern w:val="0"/>
          <w:szCs w:val="24"/>
        </w:rPr>
        <w:t>（一）基金管理人职责终止的情形</w:t>
      </w:r>
      <w:bookmarkEnd w:id="167"/>
    </w:p>
    <w:p w14:paraId="30B2D51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有下列情形之一的，基金管理人职责终止：</w:t>
      </w:r>
    </w:p>
    <w:p w14:paraId="57A6221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、被依法取消基金管理资格；</w:t>
      </w:r>
    </w:p>
    <w:p w14:paraId="1B765F1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、被基金份额持有人大会解任；</w:t>
      </w:r>
    </w:p>
    <w:p w14:paraId="272AB89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、依法解散、被依法撤销或被依法宣告破产；</w:t>
      </w:r>
    </w:p>
    <w:p w14:paraId="2CF769E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、法律法规及中国证监会规定的和《基金合同》约定的其他情形。</w:t>
      </w:r>
    </w:p>
    <w:p w14:paraId="2AA63A2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68" w:name="_Toc22005972"/>
      <w:r w:rsidRPr="006F4D70">
        <w:rPr>
          <w:rFonts w:asciiTheme="minorEastAsia" w:eastAsiaTheme="minorEastAsia" w:hAnsiTheme="minorEastAsia" w:cs="宋体" w:hint="eastAsia"/>
          <w:b/>
          <w:bCs/>
          <w:kern w:val="0"/>
          <w:szCs w:val="24"/>
        </w:rPr>
        <w:t>（二）基金托管人职责终止的情形</w:t>
      </w:r>
      <w:bookmarkEnd w:id="168"/>
    </w:p>
    <w:p w14:paraId="4611BA5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有下列情形之一的，基金托管人职责终止：</w:t>
      </w:r>
    </w:p>
    <w:p w14:paraId="3126831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、被依法取消基金托管资格；</w:t>
      </w:r>
    </w:p>
    <w:p w14:paraId="2D7F908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、被基金份额持有人大会解任；</w:t>
      </w:r>
    </w:p>
    <w:p w14:paraId="11D9357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、依法解散、被依法撤销或被依法宣告破产；</w:t>
      </w:r>
    </w:p>
    <w:p w14:paraId="54E59BB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、法律法规及中国证监会规定的和《基金合同》约定的其他情形。</w:t>
      </w:r>
    </w:p>
    <w:p w14:paraId="07942BE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69" w:name="_Toc57530253"/>
      <w:bookmarkStart w:id="170" w:name="_Toc15118246"/>
      <w:bookmarkStart w:id="171" w:name="_Toc79392594"/>
      <w:r w:rsidRPr="006F4D70">
        <w:rPr>
          <w:rFonts w:asciiTheme="minorEastAsia" w:eastAsiaTheme="minorEastAsia" w:hAnsiTheme="minorEastAsia" w:cs="宋体" w:hint="eastAsia"/>
          <w:b/>
          <w:bCs/>
          <w:kern w:val="0"/>
          <w:szCs w:val="24"/>
        </w:rPr>
        <w:t>二、基金管理人和基金托管人的更换程序</w:t>
      </w:r>
      <w:bookmarkEnd w:id="169"/>
      <w:bookmarkEnd w:id="170"/>
      <w:bookmarkEnd w:id="171"/>
    </w:p>
    <w:p w14:paraId="5A65F884"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72" w:name="_Toc22005974"/>
      <w:r w:rsidRPr="006F4D70">
        <w:rPr>
          <w:rFonts w:asciiTheme="minorEastAsia" w:eastAsiaTheme="minorEastAsia" w:hAnsiTheme="minorEastAsia" w:cs="宋体" w:hint="eastAsia"/>
          <w:b/>
          <w:bCs/>
          <w:kern w:val="0"/>
          <w:szCs w:val="24"/>
        </w:rPr>
        <w:t>（一）基金管理人的更换程序</w:t>
      </w:r>
      <w:bookmarkEnd w:id="172"/>
    </w:p>
    <w:p w14:paraId="14FBBC7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、提名：新任基金管理人由基金托管人或由单独或合计持有</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）基金份额的基金份额持有人提名；</w:t>
      </w:r>
    </w:p>
    <w:p w14:paraId="187AEDC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、决议：基金份额持有人大会在基金管理人职责终止后</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个月内对被提名的基金管理人形成决议，该决议需经参加大会的基金份额持有人所持表决权的</w:t>
      </w:r>
      <w:r w:rsidRPr="006F4D70">
        <w:rPr>
          <w:rFonts w:asciiTheme="minorEastAsia" w:eastAsiaTheme="minorEastAsia" w:hAnsiTheme="minorEastAsia" w:hint="eastAsia"/>
          <w:bCs/>
        </w:rPr>
        <w:t>三分之二</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hint="eastAsia"/>
          <w:bCs/>
        </w:rPr>
        <w:t>三分之二</w:t>
      </w:r>
      <w:r w:rsidRPr="006F4D70">
        <w:rPr>
          <w:rFonts w:asciiTheme="minorEastAsia" w:eastAsiaTheme="minorEastAsia" w:hAnsiTheme="minorEastAsia" w:cs="宋体" w:hint="eastAsia"/>
          <w:kern w:val="0"/>
          <w:szCs w:val="24"/>
        </w:rPr>
        <w:t>）表决通过，决议自表决通过之日起生效；</w:t>
      </w:r>
    </w:p>
    <w:p w14:paraId="3F00305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、临时基金管理人：新任基金管理人产生之前，由中国证监会指定临时基金管理人；</w:t>
      </w:r>
    </w:p>
    <w:p w14:paraId="054ABBD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、备案：基金份额持有人大会更换基金管理人的决议须报中国证监会备案；</w:t>
      </w:r>
    </w:p>
    <w:p w14:paraId="1F15F3B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、公告：基金管理人更换后，由基金托管人在更换基金管理人的基金份额持有人大会决议生效后</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日内在规定媒介公告；</w:t>
      </w:r>
    </w:p>
    <w:p w14:paraId="2833729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、交接：基金管理人职责终止的，基金管理人应妥善保管基金管理业务资料，及时向临时基金管理人或新任基金管理人办理基金管理业务的移交手续，临</w:t>
      </w:r>
      <w:r w:rsidRPr="006F4D70">
        <w:rPr>
          <w:rFonts w:asciiTheme="minorEastAsia" w:eastAsiaTheme="minorEastAsia" w:hAnsiTheme="minorEastAsia" w:cs="宋体" w:hint="eastAsia"/>
          <w:kern w:val="0"/>
          <w:szCs w:val="24"/>
        </w:rPr>
        <w:lastRenderedPageBreak/>
        <w:t>时基金管理人或新任基金管理人应及时接收。新任基金管理人或临时基金管理人应与基金托管人核对基金资产总值和基金资产净值；</w:t>
      </w:r>
    </w:p>
    <w:p w14:paraId="58BF22A1" w14:textId="6E56DA2E"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、审计：基金管理人职责终止的，应当按照法律法规规定聘请符合《中华人民共和国证券法》规定的会计师事务所对基金财产进行审计，并将审计结果予以公告，同时报中国证监会备案</w:t>
      </w:r>
      <w:r w:rsidR="00FB721A" w:rsidRPr="00FB721A">
        <w:rPr>
          <w:rFonts w:asciiTheme="minorEastAsia" w:eastAsiaTheme="minorEastAsia" w:hAnsiTheme="minorEastAsia" w:cs="宋体" w:hint="eastAsia"/>
          <w:kern w:val="0"/>
          <w:szCs w:val="24"/>
        </w:rPr>
        <w:t>，审计费用从基金财产中列支</w:t>
      </w:r>
      <w:r w:rsidRPr="006F4D70">
        <w:rPr>
          <w:rFonts w:asciiTheme="minorEastAsia" w:eastAsiaTheme="minorEastAsia" w:hAnsiTheme="minorEastAsia" w:cs="宋体" w:hint="eastAsia"/>
          <w:kern w:val="0"/>
          <w:szCs w:val="24"/>
        </w:rPr>
        <w:t>；</w:t>
      </w:r>
    </w:p>
    <w:p w14:paraId="37A0614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、基金名称变更：基金管理人更换后，如果原任或新任基金管理人要求，应按其要求替换或删除基金名称中与原基金管理人有关的名称字样。</w:t>
      </w:r>
    </w:p>
    <w:p w14:paraId="1EC135D1"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73" w:name="_Toc22005975"/>
      <w:r w:rsidRPr="006F4D70">
        <w:rPr>
          <w:rFonts w:asciiTheme="minorEastAsia" w:eastAsiaTheme="minorEastAsia" w:hAnsiTheme="minorEastAsia" w:cs="宋体" w:hint="eastAsia"/>
          <w:b/>
          <w:bCs/>
          <w:kern w:val="0"/>
          <w:szCs w:val="24"/>
        </w:rPr>
        <w:t>（二）基金托管人的更换程序</w:t>
      </w:r>
      <w:bookmarkEnd w:id="173"/>
    </w:p>
    <w:p w14:paraId="753A55E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、提名：新任基金托管人由基金管理人或由单独或合计持有</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）基金份额的基金份额持有人提名；</w:t>
      </w:r>
    </w:p>
    <w:p w14:paraId="59FEB45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、决议：基金份额持有人大会在基金托管人职责终止后</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个月内对被提名的基金托管人形成决议，该决议需经参加大会的基金份额持有人所持表决权的三分之二以上（含三分之二）表决通过，决议自表决通过之日起生效；</w:t>
      </w:r>
    </w:p>
    <w:p w14:paraId="1B587E3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、临时基金托管人：新任基金托管人产生之前，由中国证监会指定临时基金托管人；</w:t>
      </w:r>
    </w:p>
    <w:p w14:paraId="2CEDCD7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、备案：基金份额持有人大会更换基金托管人的决议须报中国证监会备案；</w:t>
      </w:r>
    </w:p>
    <w:p w14:paraId="39EFC91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、公告：基金托管人更换后，由基金管理人在更换基金托管人的基金份额持有人大会决议生效后</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日内在规定媒介公告；</w:t>
      </w:r>
    </w:p>
    <w:p w14:paraId="3F01303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2BA2CFA6" w14:textId="6946AE9B"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、审计：基金托管人职责终止的，应当按照法律法规规定聘请符合《中华人民共和国证券法》规定的会计师事务所对基金财产进行审计，并将审计结果予以公告，同时报中国证监会备案</w:t>
      </w:r>
      <w:r w:rsidR="00FB721A" w:rsidRPr="00FB721A">
        <w:rPr>
          <w:rFonts w:asciiTheme="minorEastAsia" w:eastAsiaTheme="minorEastAsia" w:hAnsiTheme="minorEastAsia" w:cs="宋体" w:hint="eastAsia"/>
          <w:kern w:val="0"/>
          <w:szCs w:val="24"/>
        </w:rPr>
        <w:t>，审计费用从基金财产中列支</w:t>
      </w:r>
      <w:r w:rsidRPr="006F4D70">
        <w:rPr>
          <w:rFonts w:asciiTheme="minorEastAsia" w:eastAsiaTheme="minorEastAsia" w:hAnsiTheme="minorEastAsia" w:cs="宋体" w:hint="eastAsia"/>
          <w:kern w:val="0"/>
          <w:szCs w:val="24"/>
        </w:rPr>
        <w:t>。</w:t>
      </w:r>
    </w:p>
    <w:p w14:paraId="2004D2D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74" w:name="_Toc1357"/>
      <w:r w:rsidRPr="006F4D70">
        <w:rPr>
          <w:rFonts w:asciiTheme="minorEastAsia" w:eastAsiaTheme="minorEastAsia" w:hAnsiTheme="minorEastAsia" w:cs="宋体" w:hint="eastAsia"/>
          <w:b/>
          <w:bCs/>
          <w:kern w:val="0"/>
          <w:szCs w:val="24"/>
        </w:rPr>
        <w:t>（三）基金管理人与基金托管人同时更换的条件和程序</w:t>
      </w:r>
      <w:bookmarkEnd w:id="174"/>
    </w:p>
    <w:p w14:paraId="7419838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、提名：如果基金管理人和基金托管人同时更换，由单独或合计持有基金总份额</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以上（含</w:t>
      </w: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）的基金份额持有人提名新的基金管理人和基金托管人；</w:t>
      </w:r>
    </w:p>
    <w:p w14:paraId="11D6E04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、基金管理人和基金托管人的更换分别按上述程序进行；</w:t>
      </w:r>
    </w:p>
    <w:p w14:paraId="7B67CE4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3</w:t>
      </w:r>
      <w:r w:rsidRPr="006F4D70">
        <w:rPr>
          <w:rFonts w:asciiTheme="minorEastAsia" w:eastAsiaTheme="minorEastAsia" w:hAnsiTheme="minorEastAsia" w:cs="宋体" w:hint="eastAsia"/>
          <w:kern w:val="0"/>
          <w:szCs w:val="24"/>
        </w:rPr>
        <w:t>、公告：新任基金管理人和新任基金托管人应在更换基金管理人和基金托管人的基金份额持有人大会决议生效后2日内在规定媒介上联合公告。</w:t>
      </w:r>
    </w:p>
    <w:p w14:paraId="58624221" w14:textId="77777777" w:rsidR="00595296" w:rsidRPr="006F4D70" w:rsidRDefault="002B7F4D">
      <w:pPr>
        <w:ind w:firstLine="482"/>
        <w:rPr>
          <w:rFonts w:asciiTheme="minorEastAsia" w:eastAsiaTheme="minorEastAsia" w:hAnsiTheme="minorEastAsia"/>
          <w:bCs/>
          <w:color w:val="000000"/>
        </w:rPr>
      </w:pPr>
      <w:r w:rsidRPr="006F4D70">
        <w:rPr>
          <w:rFonts w:asciiTheme="minorEastAsia" w:eastAsiaTheme="minorEastAsia" w:hAnsiTheme="minorEastAsia" w:hint="eastAsia"/>
          <w:b/>
          <w:color w:val="000000"/>
          <w:szCs w:val="24"/>
        </w:rPr>
        <w:t>三、</w:t>
      </w:r>
      <w:r w:rsidRPr="006F4D70">
        <w:rPr>
          <w:rFonts w:asciiTheme="minorEastAsia" w:eastAsiaTheme="minorEastAsia" w:hAnsiTheme="minorEastAsia" w:hint="eastAsia"/>
          <w:bCs/>
          <w:color w:val="000000"/>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C8FC407" w14:textId="633477EA" w:rsidR="00595296" w:rsidRPr="006F4D70" w:rsidRDefault="002B7F4D">
      <w:pPr>
        <w:ind w:firstLine="480"/>
        <w:rPr>
          <w:rFonts w:asciiTheme="minorEastAsia" w:eastAsiaTheme="minorEastAsia" w:hAnsiTheme="minorEastAsia"/>
          <w:color w:val="000000"/>
          <w:szCs w:val="24"/>
        </w:rPr>
      </w:pPr>
      <w:r w:rsidRPr="006F4D70">
        <w:rPr>
          <w:rFonts w:asciiTheme="minorEastAsia" w:eastAsiaTheme="minorEastAsia" w:hAnsiTheme="minorEastAsia" w:hint="eastAsia"/>
          <w:color w:val="000000"/>
          <w:szCs w:val="24"/>
        </w:rPr>
        <w:t>四、新任基金管理人/临时基金管理人接收基金管理业务或新任基金托管人/临时基金托管人接收基金财产和基金托管业务前，原基金管理人或原基金托管人应依据法律法规和基金合同的规定继续履行相关职责，并保证不做出对基金份额持有人的利益造成损害的行为。原基金管理人或基金托管人在继续履行相关职责期间，仍有权按照本基金合同的规定收取基金管理费</w:t>
      </w:r>
      <w:bookmarkStart w:id="175" w:name="_Hlk210042308"/>
      <w:r w:rsidR="00631A89" w:rsidRPr="00631A89">
        <w:rPr>
          <w:rFonts w:asciiTheme="minorEastAsia" w:eastAsiaTheme="minorEastAsia" w:hAnsiTheme="minorEastAsia" w:hint="eastAsia"/>
          <w:color w:val="000000"/>
          <w:szCs w:val="24"/>
        </w:rPr>
        <w:t>（包括固定管理费、或有管理费和超额管理费）</w:t>
      </w:r>
      <w:bookmarkEnd w:id="175"/>
      <w:r w:rsidRPr="006F4D70">
        <w:rPr>
          <w:rFonts w:asciiTheme="minorEastAsia" w:eastAsiaTheme="minorEastAsia" w:hAnsiTheme="minorEastAsia" w:hint="eastAsia"/>
          <w:color w:val="000000"/>
          <w:szCs w:val="24"/>
        </w:rPr>
        <w:t>或基金托管费。</w:t>
      </w:r>
    </w:p>
    <w:p w14:paraId="42602ACB" w14:textId="77777777" w:rsidR="00595296" w:rsidRPr="006F4D70" w:rsidRDefault="00595296">
      <w:pPr>
        <w:widowControl/>
        <w:ind w:firstLine="480"/>
        <w:jc w:val="left"/>
        <w:rPr>
          <w:rFonts w:asciiTheme="minorEastAsia" w:eastAsiaTheme="minorEastAsia" w:hAnsiTheme="minorEastAsia" w:cs="宋体"/>
          <w:kern w:val="0"/>
          <w:szCs w:val="24"/>
        </w:rPr>
      </w:pPr>
    </w:p>
    <w:p w14:paraId="7E5676F3" w14:textId="77777777" w:rsidR="00595296" w:rsidRPr="006F4D70" w:rsidRDefault="002B7F4D">
      <w:pPr>
        <w:pStyle w:val="1"/>
        <w:ind w:firstLine="602"/>
        <w:rPr>
          <w:rFonts w:asciiTheme="minorEastAsia" w:eastAsiaTheme="minorEastAsia" w:hAnsiTheme="minorEastAsia"/>
        </w:rPr>
      </w:pPr>
      <w:r w:rsidRPr="006F4D70">
        <w:rPr>
          <w:rFonts w:asciiTheme="minorEastAsia" w:eastAsiaTheme="minorEastAsia" w:hAnsiTheme="minorEastAsia"/>
        </w:rPr>
        <w:br w:type="page"/>
      </w:r>
      <w:bookmarkStart w:id="176" w:name="_Toc377998625"/>
      <w:bookmarkStart w:id="177" w:name="_Toc198902622"/>
      <w:r w:rsidRPr="006F4D70">
        <w:rPr>
          <w:rFonts w:asciiTheme="minorEastAsia" w:eastAsiaTheme="minorEastAsia" w:hAnsiTheme="minorEastAsia" w:hint="eastAsia"/>
        </w:rPr>
        <w:lastRenderedPageBreak/>
        <w:t>第十部分    基金的托管</w:t>
      </w:r>
      <w:bookmarkEnd w:id="176"/>
      <w:bookmarkEnd w:id="177"/>
    </w:p>
    <w:p w14:paraId="561E33E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基金托管人和基金管理人按照《基金法》、《基金合同》及其他有关规定订立托管协议。</w:t>
      </w:r>
    </w:p>
    <w:p w14:paraId="5FB8EBE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43F8484" w14:textId="77777777" w:rsidR="00595296" w:rsidRPr="006F4D70" w:rsidRDefault="00595296">
      <w:pPr>
        <w:autoSpaceDE w:val="0"/>
        <w:autoSpaceDN w:val="0"/>
        <w:adjustRightInd w:val="0"/>
        <w:ind w:firstLine="602"/>
        <w:jc w:val="left"/>
        <w:rPr>
          <w:rFonts w:asciiTheme="minorEastAsia" w:eastAsiaTheme="minorEastAsia" w:hAnsiTheme="minorEastAsia" w:cs="宋体"/>
          <w:b/>
          <w:bCs/>
          <w:kern w:val="0"/>
          <w:sz w:val="30"/>
          <w:szCs w:val="30"/>
        </w:rPr>
      </w:pPr>
    </w:p>
    <w:p w14:paraId="23CB963E" w14:textId="77777777" w:rsidR="00595296" w:rsidRPr="006F4D70" w:rsidRDefault="002B7F4D">
      <w:pPr>
        <w:widowControl/>
        <w:ind w:firstLine="602"/>
        <w:jc w:val="left"/>
        <w:rPr>
          <w:rFonts w:asciiTheme="minorEastAsia" w:eastAsiaTheme="minorEastAsia" w:hAnsiTheme="minorEastAsia" w:cs="宋体"/>
          <w:b/>
          <w:bCs/>
          <w:kern w:val="0"/>
          <w:sz w:val="30"/>
          <w:szCs w:val="30"/>
        </w:rPr>
      </w:pPr>
      <w:r w:rsidRPr="006F4D70">
        <w:rPr>
          <w:rFonts w:asciiTheme="minorEastAsia" w:eastAsiaTheme="minorEastAsia" w:hAnsiTheme="minorEastAsia" w:cs="宋体"/>
          <w:b/>
          <w:bCs/>
          <w:kern w:val="0"/>
          <w:sz w:val="30"/>
          <w:szCs w:val="30"/>
        </w:rPr>
        <w:br w:type="page"/>
      </w:r>
    </w:p>
    <w:p w14:paraId="544F9DA4" w14:textId="77777777" w:rsidR="00595296" w:rsidRPr="006F4D70" w:rsidRDefault="002B7F4D">
      <w:pPr>
        <w:pStyle w:val="1"/>
        <w:ind w:firstLine="602"/>
        <w:rPr>
          <w:rFonts w:asciiTheme="minorEastAsia" w:eastAsiaTheme="minorEastAsia" w:hAnsiTheme="minorEastAsia"/>
          <w:kern w:val="0"/>
        </w:rPr>
      </w:pPr>
      <w:bookmarkStart w:id="178" w:name="_Toc377998626"/>
      <w:bookmarkStart w:id="179" w:name="_Toc198902623"/>
      <w:r w:rsidRPr="006F4D70">
        <w:rPr>
          <w:rFonts w:asciiTheme="minorEastAsia" w:eastAsiaTheme="minorEastAsia" w:hAnsiTheme="minorEastAsia" w:hint="eastAsia"/>
          <w:kern w:val="0"/>
        </w:rPr>
        <w:lastRenderedPageBreak/>
        <w:t>第十一部分    基金份额的登记</w:t>
      </w:r>
      <w:bookmarkEnd w:id="178"/>
      <w:bookmarkEnd w:id="179"/>
    </w:p>
    <w:p w14:paraId="0D5F839C"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一、基金份额的登记业务</w:t>
      </w:r>
    </w:p>
    <w:p w14:paraId="2448A1C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17352A5"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二、基金登记业务办理机构</w:t>
      </w:r>
    </w:p>
    <w:p w14:paraId="1036476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14:paraId="0D5D1A00"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三、基金登记机构的权利</w:t>
      </w:r>
      <w:bookmarkStart w:id="180" w:name="_Hlt88820748"/>
      <w:bookmarkEnd w:id="180"/>
    </w:p>
    <w:p w14:paraId="47BB299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基金登记机构享有以下权利：</w:t>
      </w:r>
    </w:p>
    <w:p w14:paraId="7237A3E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、取得登记费；</w:t>
      </w:r>
    </w:p>
    <w:p w14:paraId="5B96CBA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、建立和管理投资者基金账户；</w:t>
      </w:r>
    </w:p>
    <w:p w14:paraId="430F822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、保管基金份额持有人开户资料、交易资料、基金份额持有人名册等；</w:t>
      </w:r>
    </w:p>
    <w:p w14:paraId="4500429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、在法律法规允许的范围内，对登记业务的办理时间进行调整，并依照有关规定于开始实施前在规定媒介上公告；</w:t>
      </w:r>
    </w:p>
    <w:p w14:paraId="36079EC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、法律法规及中国证监会规定的和《基金合同》约定的其他权利。</w:t>
      </w:r>
    </w:p>
    <w:p w14:paraId="5D6419A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四、基金登记机构的义务</w:t>
      </w:r>
    </w:p>
    <w:p w14:paraId="64390D2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基金登记机构承担以下义务：</w:t>
      </w:r>
    </w:p>
    <w:p w14:paraId="7BBBA50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、配备足够的专业人员办理本基金份额的登记业务；</w:t>
      </w:r>
    </w:p>
    <w:p w14:paraId="68B6FF6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、严格按照法律法规和《基金合同》规定的条件办理本基金份额的登记业务；</w:t>
      </w:r>
    </w:p>
    <w:p w14:paraId="4F70974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、妥善保存登记数据，并将基金份额持有人名称、身份信息及基金份额明细等数据备份至中国证监会认定的机构。其保存期限自基金账户销户之日起不得少于法定最低期限；</w:t>
      </w:r>
    </w:p>
    <w:p w14:paraId="2D68C44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4</w:t>
      </w:r>
      <w:r w:rsidRPr="006F4D70">
        <w:rPr>
          <w:rFonts w:asciiTheme="minorEastAsia" w:eastAsiaTheme="minorEastAsia" w:hAnsiTheme="minorEastAsia" w:cs="宋体" w:hint="eastAsia"/>
          <w:kern w:val="0"/>
          <w:szCs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Pr="006F4D70">
        <w:rPr>
          <w:rFonts w:asciiTheme="minorEastAsia" w:eastAsiaTheme="minorEastAsia" w:hAnsiTheme="minorEastAsia" w:cs="宋体"/>
          <w:kern w:val="0"/>
          <w:szCs w:val="24"/>
        </w:rPr>
        <w:t xml:space="preserve"> </w:t>
      </w:r>
    </w:p>
    <w:p w14:paraId="273FB6A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、按《基金合同》及招募说明书规定为投资者办理非交易过户业务、提供其他必要的服务；</w:t>
      </w:r>
    </w:p>
    <w:p w14:paraId="525022F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、接受基金管理人的监督；</w:t>
      </w:r>
    </w:p>
    <w:p w14:paraId="6759BA2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、法律法规及中国证监会规定的和《基金合同》约定的其他义务。</w:t>
      </w:r>
    </w:p>
    <w:p w14:paraId="7846C633" w14:textId="77777777" w:rsidR="00595296" w:rsidRPr="006F4D70" w:rsidRDefault="00595296">
      <w:pPr>
        <w:autoSpaceDE w:val="0"/>
        <w:autoSpaceDN w:val="0"/>
        <w:adjustRightInd w:val="0"/>
        <w:ind w:firstLine="602"/>
        <w:rPr>
          <w:rFonts w:asciiTheme="minorEastAsia" w:eastAsiaTheme="minorEastAsia" w:hAnsiTheme="minorEastAsia" w:cs="宋体"/>
          <w:b/>
          <w:bCs/>
          <w:kern w:val="0"/>
          <w:sz w:val="30"/>
          <w:szCs w:val="30"/>
        </w:rPr>
      </w:pPr>
    </w:p>
    <w:p w14:paraId="4E2E8B89" w14:textId="77777777" w:rsidR="00595296" w:rsidRPr="006F4D70" w:rsidRDefault="002B7F4D">
      <w:pPr>
        <w:pStyle w:val="1"/>
        <w:ind w:firstLine="600"/>
        <w:rPr>
          <w:rFonts w:asciiTheme="minorEastAsia" w:eastAsiaTheme="minorEastAsia" w:hAnsiTheme="minorEastAsia"/>
          <w:kern w:val="0"/>
        </w:rPr>
      </w:pPr>
      <w:r w:rsidRPr="006F4D70">
        <w:rPr>
          <w:rFonts w:asciiTheme="minorEastAsia" w:eastAsiaTheme="minorEastAsia" w:hAnsiTheme="minorEastAsia" w:cs="宋体"/>
          <w:b w:val="0"/>
          <w:bCs w:val="0"/>
          <w:kern w:val="0"/>
        </w:rPr>
        <w:br w:type="page"/>
      </w:r>
      <w:bookmarkStart w:id="181" w:name="_Toc377998627"/>
      <w:bookmarkStart w:id="182" w:name="_Toc198902624"/>
      <w:r w:rsidRPr="006F4D70">
        <w:rPr>
          <w:rFonts w:asciiTheme="minorEastAsia" w:eastAsiaTheme="minorEastAsia" w:hAnsiTheme="minorEastAsia" w:hint="eastAsia"/>
          <w:kern w:val="0"/>
        </w:rPr>
        <w:lastRenderedPageBreak/>
        <w:t>第十二部分    基金的投资</w:t>
      </w:r>
      <w:bookmarkEnd w:id="181"/>
      <w:bookmarkEnd w:id="182"/>
    </w:p>
    <w:p w14:paraId="6AABEE18"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83" w:name="_Hlk131362179"/>
      <w:bookmarkStart w:id="184" w:name="OLE_LINK7"/>
      <w:r w:rsidRPr="006F4D70">
        <w:rPr>
          <w:rFonts w:asciiTheme="minorEastAsia" w:eastAsiaTheme="minorEastAsia" w:hAnsiTheme="minorEastAsia" w:cs="宋体" w:hint="eastAsia"/>
          <w:b/>
          <w:bCs/>
          <w:kern w:val="0"/>
          <w:szCs w:val="24"/>
        </w:rPr>
        <w:t>一、投资目标</w:t>
      </w:r>
    </w:p>
    <w:p w14:paraId="60D9FB10" w14:textId="7904CC79" w:rsidR="00595296" w:rsidRPr="006F4D70" w:rsidRDefault="003E04D9">
      <w:pPr>
        <w:autoSpaceDE w:val="0"/>
        <w:autoSpaceDN w:val="0"/>
        <w:adjustRightInd w:val="0"/>
        <w:ind w:firstLine="480"/>
        <w:rPr>
          <w:rFonts w:asciiTheme="minorEastAsia" w:eastAsiaTheme="minorEastAsia" w:hAnsiTheme="minorEastAsia"/>
          <w:color w:val="000000"/>
        </w:rPr>
      </w:pPr>
      <w:r w:rsidRPr="006F4D70">
        <w:rPr>
          <w:rFonts w:asciiTheme="minorEastAsia" w:eastAsiaTheme="minorEastAsia" w:hAnsiTheme="minorEastAsia"/>
          <w:color w:val="000000"/>
        </w:rPr>
        <w:t>在</w:t>
      </w:r>
      <w:r w:rsidRPr="006F4D70">
        <w:rPr>
          <w:rFonts w:asciiTheme="minorEastAsia" w:eastAsiaTheme="minorEastAsia" w:hAnsiTheme="minorEastAsia" w:hint="eastAsia"/>
          <w:color w:val="000000"/>
        </w:rPr>
        <w:t>力争</w:t>
      </w:r>
      <w:r w:rsidRPr="006F4D70">
        <w:rPr>
          <w:rFonts w:asciiTheme="minorEastAsia" w:eastAsiaTheme="minorEastAsia" w:hAnsiTheme="minorEastAsia"/>
          <w:color w:val="000000"/>
        </w:rPr>
        <w:t>控制投资组合风险的前提下，通过专业化研究分析</w:t>
      </w:r>
      <w:r w:rsidRPr="006F4D70">
        <w:rPr>
          <w:rFonts w:asciiTheme="minorEastAsia" w:eastAsiaTheme="minorEastAsia" w:hAnsiTheme="minorEastAsia" w:hint="eastAsia"/>
          <w:color w:val="000000"/>
        </w:rPr>
        <w:t>精选股票</w:t>
      </w:r>
      <w:r w:rsidRPr="006F4D70">
        <w:rPr>
          <w:rFonts w:asciiTheme="minorEastAsia" w:eastAsiaTheme="minorEastAsia" w:hAnsiTheme="minorEastAsia"/>
          <w:color w:val="000000"/>
        </w:rPr>
        <w:t>，寻求基金资产的长期稳健增值，力争获得超越业绩比较基准的稳定收益。</w:t>
      </w:r>
    </w:p>
    <w:p w14:paraId="258187A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二、投资范围</w:t>
      </w:r>
    </w:p>
    <w:p w14:paraId="753EE324" w14:textId="1111A153" w:rsidR="00595296" w:rsidRPr="006F4D70" w:rsidRDefault="003E04D9">
      <w:pPr>
        <w:autoSpaceDE w:val="0"/>
        <w:autoSpaceDN w:val="0"/>
        <w:adjustRightInd w:val="0"/>
        <w:ind w:firstLine="480"/>
        <w:rPr>
          <w:rFonts w:asciiTheme="minorEastAsia" w:eastAsiaTheme="minorEastAsia" w:hAnsiTheme="minorEastAsia"/>
          <w:color w:val="000000"/>
        </w:rPr>
      </w:pPr>
      <w:bookmarkStart w:id="185" w:name="OLE_LINK3"/>
      <w:r w:rsidRPr="006F4D70">
        <w:rPr>
          <w:rFonts w:asciiTheme="minorEastAsia" w:eastAsiaTheme="minorEastAsia" w:hAnsiTheme="minorEastAsia"/>
          <w:color w:val="000000"/>
        </w:rPr>
        <w:t>本基金的投资范围为具有良好流动性的金融工具，包括国内依法发行上市的股票（包括主板、</w:t>
      </w:r>
      <w:r w:rsidRPr="006F4D70">
        <w:rPr>
          <w:rFonts w:asciiTheme="minorEastAsia" w:eastAsiaTheme="minorEastAsia" w:hAnsiTheme="minorEastAsia" w:hint="eastAsia"/>
          <w:color w:val="000000"/>
        </w:rPr>
        <w:t>科创板、</w:t>
      </w:r>
      <w:r w:rsidRPr="006F4D70">
        <w:rPr>
          <w:rFonts w:asciiTheme="minorEastAsia" w:eastAsiaTheme="minorEastAsia" w:hAnsiTheme="minorEastAsia"/>
          <w:color w:val="000000"/>
        </w:rPr>
        <w:t>创业板以及其他经中国证监会允许发行上市的股票）、存托凭证、港股通标的股票、债券（包括国债、地方政府债、政府支持机构债、金融债、企业债、公司债、央行票据、中期票据、短期融资券、超短期融资券、可转换债券、可交换债券、公开发行的次级债、分离交易可转债的纯债部分）、资产支持证券、债券回购、银行存款</w:t>
      </w:r>
      <w:r w:rsidRPr="006F4D70">
        <w:rPr>
          <w:rFonts w:asciiTheme="minorEastAsia" w:eastAsiaTheme="minorEastAsia" w:hAnsiTheme="minorEastAsia" w:hint="eastAsia"/>
          <w:color w:val="000000"/>
        </w:rPr>
        <w:t>（含协议存款、定期存款及其他银行存款）</w:t>
      </w:r>
      <w:r w:rsidRPr="006F4D70">
        <w:rPr>
          <w:rFonts w:asciiTheme="minorEastAsia" w:eastAsiaTheme="minorEastAsia" w:hAnsiTheme="minorEastAsia"/>
          <w:color w:val="000000"/>
        </w:rPr>
        <w:t>、同业存单、国债期货、股指期货、股票期权、信用衍生品以及法律法规或中国证监会允许基金投资的其他金融工具（但须符合中国证监会的相关规定）。</w:t>
      </w:r>
      <w:r w:rsidR="002B7F4D" w:rsidRPr="006F4D70">
        <w:rPr>
          <w:rFonts w:asciiTheme="minorEastAsia" w:eastAsiaTheme="minorEastAsia" w:hAnsiTheme="minorEastAsia"/>
          <w:color w:val="000000"/>
        </w:rPr>
        <w:t>本基金可</w:t>
      </w:r>
      <w:r w:rsidR="002B7F4D" w:rsidRPr="006F4D70">
        <w:rPr>
          <w:rFonts w:asciiTheme="minorEastAsia" w:eastAsiaTheme="minorEastAsia" w:hAnsiTheme="minorEastAsia" w:hint="eastAsia"/>
          <w:color w:val="000000"/>
        </w:rPr>
        <w:t>根据法律法规和基金合同的约定参与融资业务。</w:t>
      </w:r>
    </w:p>
    <w:p w14:paraId="089CE07B" w14:textId="77777777" w:rsidR="00595296" w:rsidRPr="006F4D70" w:rsidRDefault="002B7F4D">
      <w:pPr>
        <w:ind w:firstLine="480"/>
        <w:rPr>
          <w:rFonts w:asciiTheme="minorEastAsia" w:eastAsiaTheme="minorEastAsia" w:hAnsiTheme="minorEastAsia"/>
          <w:color w:val="000000"/>
        </w:rPr>
      </w:pPr>
      <w:r w:rsidRPr="006F4D70">
        <w:rPr>
          <w:rFonts w:asciiTheme="minorEastAsia" w:eastAsiaTheme="minorEastAsia" w:hAnsiTheme="minorEastAsia" w:hint="eastAsia"/>
          <w:color w:val="000000"/>
        </w:rPr>
        <w:t>如法律法规或监管机构以后允许基金投资其他品种，基金管理人在履行适当程序后，可以将其纳入投资范围。</w:t>
      </w:r>
      <w:bookmarkEnd w:id="185"/>
    </w:p>
    <w:p w14:paraId="055C80AA" w14:textId="1E1FE897" w:rsidR="00595296" w:rsidRPr="006F4D70" w:rsidRDefault="002B7F4D">
      <w:pPr>
        <w:ind w:firstLine="480"/>
        <w:rPr>
          <w:rFonts w:asciiTheme="minorEastAsia" w:eastAsiaTheme="minorEastAsia" w:hAnsiTheme="minorEastAsia"/>
          <w:color w:val="000000"/>
        </w:rPr>
      </w:pPr>
      <w:r w:rsidRPr="006F4D70">
        <w:rPr>
          <w:rFonts w:asciiTheme="minorEastAsia" w:eastAsiaTheme="minorEastAsia" w:hAnsiTheme="minorEastAsia" w:hint="eastAsia"/>
          <w:color w:val="000000"/>
        </w:rPr>
        <w:t>本基金的投资</w:t>
      </w:r>
      <w:r w:rsidR="00D25F48">
        <w:rPr>
          <w:rFonts w:asciiTheme="minorEastAsia" w:eastAsiaTheme="minorEastAsia" w:hAnsiTheme="minorEastAsia" w:hint="eastAsia"/>
          <w:color w:val="000000"/>
        </w:rPr>
        <w:t>组合</w:t>
      </w:r>
      <w:r w:rsidRPr="006F4D70">
        <w:rPr>
          <w:rFonts w:asciiTheme="minorEastAsia" w:eastAsiaTheme="minorEastAsia" w:hAnsiTheme="minorEastAsia" w:hint="eastAsia"/>
          <w:color w:val="000000"/>
        </w:rPr>
        <w:t>比例为：</w:t>
      </w:r>
    </w:p>
    <w:p w14:paraId="3AF83372" w14:textId="0F91EDD7" w:rsidR="003E04D9" w:rsidRPr="006F4D70" w:rsidRDefault="003E04D9">
      <w:pPr>
        <w:ind w:firstLine="480"/>
        <w:rPr>
          <w:rFonts w:asciiTheme="minorEastAsia" w:eastAsiaTheme="minorEastAsia" w:hAnsiTheme="minorEastAsia"/>
          <w:color w:val="000000"/>
        </w:rPr>
      </w:pPr>
      <w:r w:rsidRPr="006F4D70">
        <w:rPr>
          <w:rFonts w:asciiTheme="minorEastAsia" w:eastAsiaTheme="minorEastAsia" w:hAnsiTheme="minorEastAsia"/>
          <w:color w:val="000000"/>
        </w:rPr>
        <w:t>本基金投资于股票、存托凭证的比例为基金资产的60%-95%（港股通标的股票投资比例不超过本基金股票资产的50%）；本基金每个交易日日终在扣除股指期货合约</w:t>
      </w:r>
      <w:r w:rsidR="007F6DC3">
        <w:rPr>
          <w:rFonts w:asciiTheme="minorEastAsia" w:eastAsiaTheme="minorEastAsia" w:hAnsiTheme="minorEastAsia" w:hint="eastAsia"/>
          <w:color w:val="000000"/>
        </w:rPr>
        <w:t>、</w:t>
      </w:r>
      <w:r w:rsidRPr="006F4D70">
        <w:rPr>
          <w:rFonts w:asciiTheme="minorEastAsia" w:eastAsiaTheme="minorEastAsia" w:hAnsiTheme="minorEastAsia"/>
          <w:color w:val="000000"/>
        </w:rPr>
        <w:t>国债期货合约</w:t>
      </w:r>
      <w:r w:rsidR="007F6DC3" w:rsidRPr="007F6DC3">
        <w:rPr>
          <w:rFonts w:asciiTheme="minorEastAsia" w:eastAsiaTheme="minorEastAsia" w:hAnsiTheme="minorEastAsia" w:hint="eastAsia"/>
          <w:color w:val="000000"/>
        </w:rPr>
        <w:t>、股票期权合约</w:t>
      </w:r>
      <w:r w:rsidRPr="006F4D70">
        <w:rPr>
          <w:rFonts w:asciiTheme="minorEastAsia" w:eastAsiaTheme="minorEastAsia" w:hAnsiTheme="minorEastAsia"/>
          <w:color w:val="000000"/>
        </w:rPr>
        <w:t>需缴纳的交易保证金后，应当保持不低于基金资产净值5%的现金或到期日在一年以内的政府债券，其中，现金不包括结算备付金、存出保证金、应收申购款等；股指期货、国债期货</w:t>
      </w:r>
      <w:r w:rsidR="007F6DC3" w:rsidRPr="007F6DC3">
        <w:rPr>
          <w:rFonts w:asciiTheme="minorEastAsia" w:eastAsiaTheme="minorEastAsia" w:hAnsiTheme="minorEastAsia" w:hint="eastAsia"/>
          <w:color w:val="000000"/>
        </w:rPr>
        <w:t>、股票期权</w:t>
      </w:r>
      <w:r w:rsidRPr="006F4D70">
        <w:rPr>
          <w:rFonts w:asciiTheme="minorEastAsia" w:eastAsiaTheme="minorEastAsia" w:hAnsiTheme="minorEastAsia"/>
          <w:color w:val="000000"/>
        </w:rPr>
        <w:t>的投资比例遵循国家相关法律法规。</w:t>
      </w:r>
    </w:p>
    <w:p w14:paraId="28808A59" w14:textId="34822648" w:rsidR="00595296" w:rsidRPr="006F4D70" w:rsidRDefault="002B7F4D">
      <w:pPr>
        <w:ind w:firstLine="480"/>
        <w:rPr>
          <w:rFonts w:asciiTheme="minorEastAsia" w:eastAsiaTheme="minorEastAsia" w:hAnsiTheme="minorEastAsia"/>
          <w:color w:val="000000"/>
        </w:rPr>
      </w:pPr>
      <w:r w:rsidRPr="006F4D70">
        <w:rPr>
          <w:rFonts w:asciiTheme="minorEastAsia" w:eastAsiaTheme="minorEastAsia" w:hAnsiTheme="minorEastAsia" w:hint="eastAsia"/>
          <w:color w:val="000000"/>
        </w:rPr>
        <w:t>如果法律法规或</w:t>
      </w:r>
      <w:r w:rsidR="005F22DF" w:rsidRPr="006F4D70">
        <w:rPr>
          <w:rFonts w:asciiTheme="minorEastAsia" w:eastAsiaTheme="minorEastAsia" w:hAnsiTheme="minorEastAsia" w:hint="eastAsia"/>
          <w:color w:val="000000"/>
        </w:rPr>
        <w:t>监管机构</w:t>
      </w:r>
      <w:r w:rsidRPr="006F4D70">
        <w:rPr>
          <w:rFonts w:asciiTheme="minorEastAsia" w:eastAsiaTheme="minorEastAsia" w:hAnsiTheme="minorEastAsia" w:hint="eastAsia"/>
          <w:color w:val="000000"/>
        </w:rPr>
        <w:t>变更投资品种的投资比例限制，基金管理人在履行适当程序后，可以调整上述投资品种的投资比例。</w:t>
      </w:r>
    </w:p>
    <w:bookmarkEnd w:id="183"/>
    <w:p w14:paraId="66483DCA" w14:textId="77777777" w:rsidR="00595296" w:rsidRPr="006F4D70" w:rsidRDefault="002B7F4D">
      <w:pPr>
        <w:autoSpaceDE w:val="0"/>
        <w:autoSpaceDN w:val="0"/>
        <w:adjustRightInd w:val="0"/>
        <w:ind w:firstLine="482"/>
        <w:contextualSpacing/>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三、投资策略</w:t>
      </w:r>
    </w:p>
    <w:p w14:paraId="714C0E5D"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bookmarkStart w:id="186" w:name="OLE_LINK1"/>
      <w:r w:rsidRPr="003E04D9">
        <w:rPr>
          <w:rFonts w:asciiTheme="minorEastAsia" w:eastAsiaTheme="minorEastAsia" w:hAnsiTheme="minorEastAsia"/>
          <w:color w:val="000000"/>
        </w:rPr>
        <w:t>本基金</w:t>
      </w:r>
      <w:r w:rsidRPr="003E04D9">
        <w:rPr>
          <w:rFonts w:asciiTheme="minorEastAsia" w:eastAsiaTheme="minorEastAsia" w:hAnsiTheme="minorEastAsia" w:hint="eastAsia"/>
          <w:color w:val="000000"/>
        </w:rPr>
        <w:t>以“</w:t>
      </w:r>
      <w:r w:rsidRPr="003E04D9">
        <w:rPr>
          <w:rFonts w:asciiTheme="minorEastAsia" w:eastAsiaTheme="minorEastAsia" w:hAnsiTheme="minorEastAsia"/>
          <w:color w:val="000000"/>
        </w:rPr>
        <w:t>深入研究、自下而上</w:t>
      </w:r>
      <w:r w:rsidRPr="003E04D9">
        <w:rPr>
          <w:rFonts w:asciiTheme="minorEastAsia" w:eastAsiaTheme="minorEastAsia" w:hAnsiTheme="minorEastAsia" w:hint="eastAsia"/>
          <w:color w:val="000000"/>
        </w:rPr>
        <w:t>”</w:t>
      </w:r>
      <w:r w:rsidRPr="003E04D9">
        <w:rPr>
          <w:rFonts w:asciiTheme="minorEastAsia" w:eastAsiaTheme="minorEastAsia" w:hAnsiTheme="minorEastAsia"/>
          <w:color w:val="000000"/>
        </w:rPr>
        <w:t>为投资理念，结合定性与定量的分析方法，并将投资理念和分析方法贯穿于资产配置、行业配置、个股选择以及组合风险管</w:t>
      </w:r>
      <w:r w:rsidRPr="003E04D9">
        <w:rPr>
          <w:rFonts w:asciiTheme="minorEastAsia" w:eastAsiaTheme="minorEastAsia" w:hAnsiTheme="minorEastAsia"/>
          <w:color w:val="000000"/>
        </w:rPr>
        <w:lastRenderedPageBreak/>
        <w:t>理的全过程。</w:t>
      </w:r>
      <w:r w:rsidRPr="003E04D9">
        <w:rPr>
          <w:rFonts w:asciiTheme="minorEastAsia" w:eastAsiaTheme="minorEastAsia" w:hAnsiTheme="minorEastAsia" w:hint="eastAsia"/>
          <w:color w:val="000000"/>
        </w:rPr>
        <w:t xml:space="preserve"> </w:t>
      </w:r>
    </w:p>
    <w:p w14:paraId="0DCFE76C"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（一）大类资产配置策略</w:t>
      </w:r>
    </w:p>
    <w:p w14:paraId="7BEDC16B"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的大类资产配置策略作为“自下而上”选股的补充，将根据宏观经济形势、金融要素运行情况、中国经济发展情况进行调整，并根据风险的评估和建议适度调整资产配置比例，使基金在保持总体风险水平相对稳定的基础上优化投资组合。</w:t>
      </w:r>
    </w:p>
    <w:p w14:paraId="6B2225FF"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（二）</w:t>
      </w:r>
      <w:r w:rsidRPr="003E04D9">
        <w:rPr>
          <w:rFonts w:asciiTheme="minorEastAsia" w:eastAsiaTheme="minorEastAsia" w:hAnsiTheme="minorEastAsia"/>
          <w:color w:val="000000"/>
        </w:rPr>
        <w:t>股票投资策略</w:t>
      </w:r>
    </w:p>
    <w:p w14:paraId="181898DB" w14:textId="210C99F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遵循价值投资理念，通过投资估值合理的高品质公司，力求获取中长期的超额收益。这类公司通常具有优秀的商业模式、良好的公司治理、显著的竞争优势和较大的成长空间，中长期来看具有可持续的盈利能力，争取为投资者带来中长期的超额收益。</w:t>
      </w:r>
    </w:p>
    <w:p w14:paraId="02ACCEB9"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（1） A 股精选策略</w:t>
      </w:r>
    </w:p>
    <w:p w14:paraId="3A83356C"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在定性方面，</w:t>
      </w:r>
      <w:r w:rsidRPr="003E04D9">
        <w:rPr>
          <w:rFonts w:asciiTheme="minorEastAsia" w:eastAsiaTheme="minorEastAsia" w:hAnsiTheme="minorEastAsia" w:hint="eastAsia"/>
          <w:color w:val="000000"/>
        </w:rPr>
        <w:t>本基金主要投资于具有较强竞争力和良好公司治理的上市公司，</w:t>
      </w:r>
      <w:r w:rsidRPr="003E04D9">
        <w:rPr>
          <w:rFonts w:asciiTheme="minorEastAsia" w:eastAsiaTheme="minorEastAsia" w:hAnsiTheme="minorEastAsia"/>
          <w:color w:val="000000"/>
        </w:rPr>
        <w:t>重点关注符合经济发展规律、政策驱动和推动经济结构转型的产业和上市公司。</w:t>
      </w:r>
    </w:p>
    <w:p w14:paraId="56A53C23"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在界定公司竞争力的指标中，本基金将同时关注公司的市场份额、公司毛利率、营业利润率等盈利指标较可比公司的差异，公司对上下游产业链的议价能力，公司的主要客户是否是所在行业的重要客户，公司是否具有持续横向扩张不同地域市场或者纵向延伸产业链的能力等方面。</w:t>
      </w:r>
    </w:p>
    <w:p w14:paraId="1C00FBA2"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公司治理分析方面，本基金将重点投资于具有合理的治理结构、战略明确、管理规范、信息透明的公司。同时关注大股东及重要股东的持股比例、是否存在侵占小股东利益行为历史记录、公司股权激励或员工持股计划等长期激励措施、公司过往信息披露合规性等方面</w:t>
      </w:r>
      <w:r w:rsidRPr="003E04D9">
        <w:rPr>
          <w:rFonts w:asciiTheme="minorEastAsia" w:eastAsiaTheme="minorEastAsia" w:hAnsiTheme="minorEastAsia" w:hint="eastAsia"/>
          <w:color w:val="000000"/>
        </w:rPr>
        <w:t>。</w:t>
      </w:r>
    </w:p>
    <w:p w14:paraId="6CC2456C"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在定量方面：</w:t>
      </w:r>
    </w:p>
    <w:p w14:paraId="73EE3CB0"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估值指标定量分析：</w:t>
      </w:r>
      <w:r w:rsidRPr="003E04D9">
        <w:rPr>
          <w:rFonts w:asciiTheme="minorEastAsia" w:eastAsiaTheme="minorEastAsia" w:hAnsiTheme="minorEastAsia"/>
          <w:color w:val="000000"/>
        </w:rPr>
        <w:t>相对估值指标方面，本基金将选用如下指标：市盈率（P/E）、市净率（P/B）、市销率（P/S）、企业价值/息税折旧摊销前利润法（EV/EBITDA）、企业价值/销售收入(EV/SALES)以及由此衍生而出的市值/销货金额（P/GMV）、单个活跃用户估值（P/MAU）、市盈率－长期成长法（PEG）等更能反映公司业务属性的估值方式。绝对估值方面，本基金将采用自由现金流贴现模型（DCF）或股利贴现模型（DDM）来衡量公司的投资价值。</w:t>
      </w:r>
    </w:p>
    <w:p w14:paraId="159B20E7"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lastRenderedPageBreak/>
        <w:t>财务指标定量分析</w:t>
      </w:r>
      <w:r w:rsidRPr="003E04D9">
        <w:rPr>
          <w:rFonts w:asciiTheme="minorEastAsia" w:eastAsiaTheme="minorEastAsia" w:hAnsiTheme="minorEastAsia" w:hint="eastAsia"/>
          <w:color w:val="000000"/>
        </w:rPr>
        <w:t>：</w:t>
      </w:r>
      <w:r w:rsidRPr="003E04D9">
        <w:rPr>
          <w:rFonts w:asciiTheme="minorEastAsia" w:eastAsiaTheme="minorEastAsia" w:hAnsiTheme="minorEastAsia"/>
          <w:color w:val="000000"/>
        </w:rPr>
        <w:t>本基金运用上市公司资本回报率（ROIC）、净资产回报率（ROE）、主营业务收入增长率、净利润增长率、毛利率、净利率、资产负债率、总资产周转率、营运资产周转率、现金循环周期等核心衡量公司财务健康程度的财务指标做定量分析，力争发掘出价值低估或估值合理的股票。</w:t>
      </w:r>
    </w:p>
    <w:p w14:paraId="7B4A0638" w14:textId="2BDCCA72"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（2）</w:t>
      </w:r>
      <w:r w:rsidR="00631A89" w:rsidRPr="00631A89">
        <w:rPr>
          <w:rFonts w:asciiTheme="minorEastAsia" w:eastAsiaTheme="minorEastAsia" w:hAnsiTheme="minorEastAsia"/>
          <w:color w:val="000000"/>
        </w:rPr>
        <w:t>港股通标的股票</w:t>
      </w:r>
      <w:r w:rsidRPr="003E04D9">
        <w:rPr>
          <w:rFonts w:asciiTheme="minorEastAsia" w:eastAsiaTheme="minorEastAsia" w:hAnsiTheme="minorEastAsia"/>
          <w:color w:val="000000"/>
        </w:rPr>
        <w:t>投资策略</w:t>
      </w:r>
    </w:p>
    <w:p w14:paraId="61DD9D69"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可通过港股通机制投资港股通机制下允许买卖的规定范围内的香港联交所上市的股票。对于港股通标的股票，本基金主要采用“自下而上”个股研究方式，精选出具有投资价值的优质标的。其筛选维度主要包括但不限于：治理结构与管理层（例如：良好的公司治理结构，优秀、诚信的公司管理层等）、行业集中度及行业地位（例如：具备独特的核心竞争优势，如产品优势、成本优势、技术优势和定价能力等）、公司业绩表现（例如：业绩稳定并持续、具备中长期持续增长的能力等）。</w:t>
      </w:r>
    </w:p>
    <w:p w14:paraId="0DECA3C8"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3）对于存托凭证的投资，本基金将依照境内上市交易的股票，通过定性分析和定量分析相结合的方式，精选优质上市公司；并最大限度避免由于存托凭证在交易规则、上市公司治理结构等方面的差异而或有的负面影响。</w:t>
      </w:r>
    </w:p>
    <w:p w14:paraId="4A53F2F1"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（三）债券投资策略</w:t>
      </w:r>
    </w:p>
    <w:p w14:paraId="119BE5BD"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债券投资策略在债券组合的构建和调整上，本基金综合运用久期配置、期限结构配置、类属资产配置、收益率曲线策略、杠杆放大策略等组合管理手段进行日常管理，力求获取长期稳健的收益</w:t>
      </w:r>
      <w:r w:rsidRPr="003E04D9">
        <w:rPr>
          <w:rFonts w:asciiTheme="minorEastAsia" w:eastAsiaTheme="minorEastAsia" w:hAnsiTheme="minorEastAsia" w:hint="eastAsia"/>
          <w:color w:val="000000"/>
        </w:rPr>
        <w:t>。</w:t>
      </w:r>
    </w:p>
    <w:p w14:paraId="24C94380"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（四）资产支持证券投资策略</w:t>
      </w:r>
    </w:p>
    <w:p w14:paraId="582F560C"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 xml:space="preserve"> </w:t>
      </w:r>
      <w:r w:rsidRPr="003E04D9">
        <w:rPr>
          <w:rFonts w:asciiTheme="minorEastAsia" w:eastAsiaTheme="minorEastAsia" w:hAnsiTheme="minorEastAsia"/>
          <w:color w:val="000000"/>
        </w:rPr>
        <w:t xml:space="preserve"> 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2B04EE51"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（五）</w:t>
      </w:r>
      <w:r w:rsidRPr="003E04D9">
        <w:rPr>
          <w:rFonts w:asciiTheme="minorEastAsia" w:eastAsiaTheme="minorEastAsia" w:hAnsiTheme="minorEastAsia"/>
          <w:color w:val="000000"/>
        </w:rPr>
        <w:t>可转换债券和可交换债券投资策略</w:t>
      </w:r>
    </w:p>
    <w:p w14:paraId="773758BD"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可转换债券和可交换债券同时具有固定收益类与权益类证券的双重特性。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w:t>
      </w:r>
      <w:r w:rsidRPr="003E04D9">
        <w:rPr>
          <w:rFonts w:asciiTheme="minorEastAsia" w:eastAsiaTheme="minorEastAsia" w:hAnsiTheme="minorEastAsia"/>
          <w:color w:val="000000"/>
        </w:rPr>
        <w:lastRenderedPageBreak/>
        <w:t>资的相对安全性；利用可转换债券及可交换债券的溢价率来判断其股性，在市场出现投资机会时，优先选择股性强的品种，获取超额收益。</w:t>
      </w:r>
    </w:p>
    <w:p w14:paraId="21543729"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（六）</w:t>
      </w:r>
      <w:r w:rsidRPr="003E04D9">
        <w:rPr>
          <w:rFonts w:asciiTheme="minorEastAsia" w:eastAsiaTheme="minorEastAsia" w:hAnsiTheme="minorEastAsia"/>
          <w:color w:val="000000"/>
        </w:rPr>
        <w:t>金融衍生品投资策略</w:t>
      </w:r>
    </w:p>
    <w:p w14:paraId="36D4D3F8"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1、股指期货投资策略</w:t>
      </w:r>
    </w:p>
    <w:p w14:paraId="1DD4B427"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040FF498"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2</w:t>
      </w:r>
      <w:r w:rsidRPr="003E04D9">
        <w:rPr>
          <w:rFonts w:asciiTheme="minorEastAsia" w:eastAsiaTheme="minorEastAsia" w:hAnsiTheme="minorEastAsia" w:hint="eastAsia"/>
          <w:color w:val="000000"/>
        </w:rPr>
        <w:t>、</w:t>
      </w:r>
      <w:r w:rsidRPr="003E04D9">
        <w:rPr>
          <w:rFonts w:asciiTheme="minorEastAsia" w:eastAsiaTheme="minorEastAsia" w:hAnsiTheme="minorEastAsia"/>
          <w:color w:val="000000"/>
        </w:rPr>
        <w:t>国债期货投资策略</w:t>
      </w:r>
    </w:p>
    <w:p w14:paraId="73271613"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3D86D335"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3</w:t>
      </w:r>
      <w:r w:rsidRPr="003E04D9">
        <w:rPr>
          <w:rFonts w:asciiTheme="minorEastAsia" w:eastAsiaTheme="minorEastAsia" w:hAnsiTheme="minorEastAsia" w:hint="eastAsia"/>
          <w:color w:val="000000"/>
        </w:rPr>
        <w:t>、</w:t>
      </w:r>
      <w:r w:rsidRPr="003E04D9">
        <w:rPr>
          <w:rFonts w:asciiTheme="minorEastAsia" w:eastAsiaTheme="minorEastAsia" w:hAnsiTheme="minorEastAsia"/>
          <w:color w:val="000000"/>
        </w:rPr>
        <w:t>股票期权投资策略</w:t>
      </w:r>
    </w:p>
    <w:p w14:paraId="78617F47"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本基金投资股票期权将按照风险管理的原则，以套期保值为主要目的，结合投资目标、比例限制、风险收益特征以及法律法规的相关限定和要求，确定参与股票期权交易的投资时机和投资比例。</w:t>
      </w:r>
    </w:p>
    <w:p w14:paraId="4F5CBDA1"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将关注其他金融衍生产品的推出情况，如法律法规或监管机构允许基金投资其他衍生工具，本基金将在履行适当程序后，按届时有效的法律法规和监管机构的规定，制定与本基金投资目标相适应的投资策略，在充分评估衍生产品的风险和收益的基础上，谨慎地进行投资。</w:t>
      </w:r>
    </w:p>
    <w:p w14:paraId="33E3A6A0"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hint="eastAsia"/>
          <w:color w:val="000000"/>
        </w:rPr>
        <w:t>（七）</w:t>
      </w:r>
      <w:r w:rsidRPr="003E04D9">
        <w:rPr>
          <w:rFonts w:asciiTheme="minorEastAsia" w:eastAsiaTheme="minorEastAsia" w:hAnsiTheme="minorEastAsia"/>
          <w:color w:val="000000"/>
        </w:rPr>
        <w:t>信用衍生品投资策略</w:t>
      </w:r>
    </w:p>
    <w:p w14:paraId="3F7C197F" w14:textId="77777777" w:rsidR="003E04D9" w:rsidRPr="003E04D9" w:rsidRDefault="003E04D9" w:rsidP="003E04D9">
      <w:pPr>
        <w:autoSpaceDE w:val="0"/>
        <w:autoSpaceDN w:val="0"/>
        <w:adjustRightInd w:val="0"/>
        <w:ind w:firstLine="480"/>
        <w:rPr>
          <w:rFonts w:asciiTheme="minorEastAsia" w:eastAsiaTheme="minorEastAsia" w:hAnsiTheme="minorEastAsia"/>
          <w:color w:val="000000"/>
        </w:rPr>
      </w:pPr>
      <w:r w:rsidRPr="003E04D9">
        <w:rPr>
          <w:rFonts w:asciiTheme="minorEastAsia" w:eastAsiaTheme="minorEastAsia" w:hAnsiTheme="minorEastAsia"/>
          <w:color w:val="000000"/>
        </w:rPr>
        <w:t>本基金将按照风险管理的原则，以风险对冲主要目的，并遵守证券交易所或银行间市场的相关规定，参与信用衍生品的投资。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r w:rsidRPr="003E04D9">
        <w:rPr>
          <w:rFonts w:asciiTheme="minorEastAsia" w:eastAsiaTheme="minorEastAsia" w:hAnsiTheme="minorEastAsia" w:hint="eastAsia"/>
          <w:color w:val="000000"/>
        </w:rPr>
        <w:t>。</w:t>
      </w:r>
    </w:p>
    <w:p w14:paraId="38270832" w14:textId="16EB0105" w:rsidR="003E04D9" w:rsidRPr="006F4D70" w:rsidRDefault="003E04D9" w:rsidP="003E04D9">
      <w:pPr>
        <w:autoSpaceDE w:val="0"/>
        <w:autoSpaceDN w:val="0"/>
        <w:adjustRightInd w:val="0"/>
        <w:ind w:firstLine="480"/>
        <w:rPr>
          <w:rFonts w:asciiTheme="minorEastAsia" w:eastAsiaTheme="minorEastAsia" w:hAnsiTheme="minorEastAsia"/>
          <w:color w:val="000000"/>
        </w:rPr>
      </w:pPr>
      <w:r w:rsidRPr="006F4D70">
        <w:rPr>
          <w:rFonts w:asciiTheme="minorEastAsia" w:eastAsiaTheme="minorEastAsia" w:hAnsiTheme="minorEastAsia" w:hint="eastAsia"/>
          <w:color w:val="000000"/>
        </w:rPr>
        <w:t>（八）</w:t>
      </w:r>
      <w:r w:rsidRPr="006F4D70">
        <w:rPr>
          <w:rFonts w:asciiTheme="minorEastAsia" w:eastAsiaTheme="minorEastAsia" w:hAnsiTheme="minorEastAsia"/>
          <w:color w:val="000000"/>
        </w:rPr>
        <w:t>融资投资策略</w:t>
      </w:r>
    </w:p>
    <w:p w14:paraId="2D4FFEEC" w14:textId="2E60F70A" w:rsidR="003E04D9" w:rsidRPr="006F4D70" w:rsidRDefault="003E04D9">
      <w:pPr>
        <w:autoSpaceDE w:val="0"/>
        <w:autoSpaceDN w:val="0"/>
        <w:adjustRightInd w:val="0"/>
        <w:ind w:firstLine="480"/>
        <w:rPr>
          <w:rFonts w:asciiTheme="minorEastAsia" w:eastAsiaTheme="minorEastAsia" w:hAnsiTheme="minorEastAsia"/>
          <w:color w:val="000000"/>
        </w:rPr>
      </w:pPr>
      <w:r w:rsidRPr="006F4D70">
        <w:rPr>
          <w:rFonts w:asciiTheme="minorEastAsia" w:eastAsiaTheme="minorEastAsia" w:hAnsiTheme="minorEastAsia"/>
          <w:color w:val="000000"/>
        </w:rPr>
        <w:lastRenderedPageBreak/>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3A212F65" w14:textId="77777777" w:rsidR="00595296" w:rsidRPr="006F4D70" w:rsidRDefault="002B7F4D">
      <w:pPr>
        <w:autoSpaceDE w:val="0"/>
        <w:autoSpaceDN w:val="0"/>
        <w:adjustRightInd w:val="0"/>
        <w:ind w:firstLine="480"/>
        <w:rPr>
          <w:rFonts w:asciiTheme="minorEastAsia" w:eastAsiaTheme="minorEastAsia" w:hAnsiTheme="minorEastAsia" w:cs="仿宋"/>
          <w:color w:val="000000"/>
        </w:rPr>
      </w:pPr>
      <w:r w:rsidRPr="006F4D70">
        <w:rPr>
          <w:rFonts w:asciiTheme="minorEastAsia" w:eastAsiaTheme="minorEastAsia" w:hAnsiTheme="minorEastAsia" w:cs="仿宋" w:hint="eastAsia"/>
          <w:color w:val="000000"/>
        </w:rPr>
        <w:t>未来，随着证券市场投资工具的发展和丰富，本基金在履行适当程序后可相应调整和更新相关投资策略，并在招募说明书中更新公告。</w:t>
      </w:r>
      <w:bookmarkEnd w:id="186"/>
    </w:p>
    <w:p w14:paraId="26240A2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87" w:name="_Hlk131362197"/>
      <w:r w:rsidRPr="006F4D70">
        <w:rPr>
          <w:rFonts w:asciiTheme="minorEastAsia" w:eastAsiaTheme="minorEastAsia" w:hAnsiTheme="minorEastAsia" w:cs="宋体" w:hint="eastAsia"/>
          <w:b/>
          <w:bCs/>
          <w:kern w:val="0"/>
          <w:szCs w:val="24"/>
        </w:rPr>
        <w:t>四、投资限制</w:t>
      </w:r>
    </w:p>
    <w:p w14:paraId="4FA5AF6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（一）投资组合限制</w:t>
      </w:r>
    </w:p>
    <w:p w14:paraId="22465E8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本基金的投资组合将遵循以下限制：</w:t>
      </w:r>
    </w:p>
    <w:p w14:paraId="00A53AA9" w14:textId="17EC6535"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（1）本基金投资于股票</w:t>
      </w:r>
      <w:r w:rsidR="00631A89">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hint="eastAsia"/>
          <w:bCs/>
          <w:kern w:val="0"/>
          <w:szCs w:val="24"/>
        </w:rPr>
        <w:t>存托凭证的比例为基金资产的</w:t>
      </w:r>
      <w:r w:rsidRPr="006F4D70">
        <w:rPr>
          <w:rFonts w:asciiTheme="minorEastAsia" w:eastAsiaTheme="minorEastAsia" w:hAnsiTheme="minorEastAsia" w:cs="宋体"/>
          <w:bCs/>
          <w:kern w:val="0"/>
          <w:szCs w:val="24"/>
        </w:rPr>
        <w:t>60%</w:t>
      </w:r>
      <w:r w:rsidRPr="006F4D70">
        <w:rPr>
          <w:rFonts w:asciiTheme="minorEastAsia" w:eastAsiaTheme="minorEastAsia" w:hAnsiTheme="minorEastAsia" w:hint="eastAsia"/>
          <w:color w:val="000000"/>
        </w:rPr>
        <w:t>-</w:t>
      </w:r>
      <w:r w:rsidRPr="006F4D70">
        <w:rPr>
          <w:rFonts w:asciiTheme="minorEastAsia" w:eastAsiaTheme="minorEastAsia" w:hAnsiTheme="minorEastAsia"/>
          <w:color w:val="000000"/>
        </w:rPr>
        <w:t>95</w:t>
      </w:r>
      <w:r w:rsidRPr="006F4D70">
        <w:rPr>
          <w:rFonts w:asciiTheme="minorEastAsia" w:eastAsiaTheme="minorEastAsia" w:hAnsiTheme="minorEastAsia" w:hint="eastAsia"/>
          <w:color w:val="000000"/>
        </w:rPr>
        <w:t>%</w:t>
      </w:r>
      <w:r w:rsidRPr="006F4D70">
        <w:rPr>
          <w:rFonts w:asciiTheme="minorEastAsia" w:eastAsiaTheme="minorEastAsia" w:hAnsiTheme="minorEastAsia" w:cs="宋体"/>
          <w:bCs/>
          <w:kern w:val="0"/>
          <w:szCs w:val="24"/>
        </w:rPr>
        <w:t>（</w:t>
      </w:r>
      <w:r w:rsidR="00631A89" w:rsidRPr="00631A89">
        <w:rPr>
          <w:rFonts w:asciiTheme="minorEastAsia" w:eastAsiaTheme="minorEastAsia" w:hAnsiTheme="minorEastAsia" w:cs="宋体" w:hint="eastAsia"/>
          <w:bCs/>
          <w:kern w:val="0"/>
          <w:szCs w:val="24"/>
        </w:rPr>
        <w:t>港股通标的股票投资比例不超过本基金股票资产的</w:t>
      </w:r>
      <w:r w:rsidR="00631A89" w:rsidRPr="00631A89">
        <w:rPr>
          <w:rFonts w:asciiTheme="minorEastAsia" w:eastAsiaTheme="minorEastAsia" w:hAnsiTheme="minorEastAsia" w:cs="宋体"/>
          <w:bCs/>
          <w:kern w:val="0"/>
          <w:szCs w:val="24"/>
        </w:rPr>
        <w:t>50%</w:t>
      </w:r>
      <w:r w:rsidRPr="006F4D70">
        <w:rPr>
          <w:rFonts w:asciiTheme="minorEastAsia" w:eastAsiaTheme="minorEastAsia" w:hAnsiTheme="minorEastAsia" w:cs="宋体"/>
          <w:bCs/>
          <w:kern w:val="0"/>
          <w:szCs w:val="24"/>
        </w:rPr>
        <w:t>）</w:t>
      </w:r>
      <w:r w:rsidRPr="006F4D70">
        <w:rPr>
          <w:rFonts w:asciiTheme="minorEastAsia" w:eastAsiaTheme="minorEastAsia" w:hAnsiTheme="minorEastAsia" w:cs="宋体" w:hint="eastAsia"/>
          <w:bCs/>
          <w:kern w:val="0"/>
          <w:szCs w:val="24"/>
        </w:rPr>
        <w:t>；</w:t>
      </w:r>
    </w:p>
    <w:p w14:paraId="5DC82229" w14:textId="57C4EDEE"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2</w:t>
      </w:r>
      <w:r w:rsidRPr="006F4D70">
        <w:rPr>
          <w:rFonts w:asciiTheme="minorEastAsia" w:eastAsiaTheme="minorEastAsia" w:hAnsiTheme="minorEastAsia" w:cs="宋体" w:hint="eastAsia"/>
          <w:bCs/>
          <w:kern w:val="0"/>
          <w:szCs w:val="24"/>
        </w:rPr>
        <w:t>）</w:t>
      </w:r>
      <w:r w:rsidR="00631A89" w:rsidRPr="00631A89">
        <w:rPr>
          <w:rFonts w:asciiTheme="minorEastAsia" w:eastAsiaTheme="minorEastAsia" w:hAnsiTheme="minorEastAsia" w:cs="宋体" w:hint="eastAsia"/>
          <w:bCs/>
          <w:kern w:val="0"/>
          <w:szCs w:val="24"/>
        </w:rPr>
        <w:t>本基金每个交易日日终在扣除股指期货合约、国债期货合约、股票期权合约需缴纳的交易保证金后，应当保持不低于基金资产净值</w:t>
      </w:r>
      <w:r w:rsidR="00631A89" w:rsidRPr="00631A89">
        <w:rPr>
          <w:rFonts w:asciiTheme="minorEastAsia" w:eastAsiaTheme="minorEastAsia" w:hAnsiTheme="minorEastAsia" w:cs="宋体"/>
          <w:bCs/>
          <w:kern w:val="0"/>
          <w:szCs w:val="24"/>
        </w:rPr>
        <w:t>5%的现金或到期日在一年以内的政府债券，其中，现金不包括结算备付金、存出保证金、应收申购款等</w:t>
      </w:r>
      <w:r w:rsidRPr="006F4D70">
        <w:rPr>
          <w:rFonts w:asciiTheme="minorEastAsia" w:eastAsiaTheme="minorEastAsia" w:hAnsiTheme="minorEastAsia" w:cs="宋体" w:hint="eastAsia"/>
          <w:bCs/>
          <w:kern w:val="0"/>
          <w:szCs w:val="24"/>
        </w:rPr>
        <w:t>；</w:t>
      </w:r>
    </w:p>
    <w:p w14:paraId="61D364A6"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3</w:t>
      </w:r>
      <w:r w:rsidRPr="006F4D70">
        <w:rPr>
          <w:rFonts w:asciiTheme="minorEastAsia" w:eastAsiaTheme="minorEastAsia" w:hAnsiTheme="minorEastAsia" w:cs="宋体" w:hint="eastAsia"/>
          <w:bCs/>
          <w:kern w:val="0"/>
          <w:szCs w:val="24"/>
        </w:rPr>
        <w:t>）基金财产参与股票发行申购，本基金所申报的金额不超过本基金的总资产，本基金所申报的股票数量不超过拟发行股票公司本次发行股票的总量；</w:t>
      </w:r>
    </w:p>
    <w:p w14:paraId="05C90CE0"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（4）本基金持有一家公司发行的证券，其市值（同一家公司在内地和香港同时上市的A+H股合计计算）不超过基金资产净值的10%；</w:t>
      </w:r>
    </w:p>
    <w:p w14:paraId="0CFF9551"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5）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440FF0C9"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6）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29516E0"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（7）本基金投资于同一原始权益人的各类资产支持证券的比例，不得超过基金资产净值的10%；</w:t>
      </w:r>
    </w:p>
    <w:p w14:paraId="1C9B70A2"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lastRenderedPageBreak/>
        <w:t>（8）本基金持有的全部资产支持证券，其市值不得超过基金资产净值的20%；</w:t>
      </w:r>
    </w:p>
    <w:p w14:paraId="123CC7DA"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（9）本基金持有的同一(指同一信用级别)资产支持证券的比例，不得超过该资产支持证券规模的10%；</w:t>
      </w:r>
    </w:p>
    <w:p w14:paraId="40CBB73C"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（10）本基金管理人管理的全部基金投资于同一原始权益人的各类资产支持证券，不得超过其各类资产支持证券合计规模的10%；</w:t>
      </w:r>
    </w:p>
    <w:p w14:paraId="624145BF"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（11）本基金应投资于信用级别评级为BBB以上(含BBB)的资产支持证券。基金持有资产支持证券期间，如果其信用等级下降、不再符合投资标准，应在评级报告发布之日起3个月内予以全部卖出；</w:t>
      </w:r>
    </w:p>
    <w:p w14:paraId="7D1D9F21"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（12）本基金总资产不得超过基金净资产的140%；</w:t>
      </w:r>
    </w:p>
    <w:p w14:paraId="746EA0A8"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（13）本基金参与股指期货和/或国债期货交易时，应当遵守下列要求：</w:t>
      </w:r>
    </w:p>
    <w:p w14:paraId="53164DFB"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1）基金在任何交易日日终，持有的买入股指期货合约价值不得超过基金资产净值的10%，持有的买入国债期货合约价值，不得超过基金资产净值的15%。</w:t>
      </w:r>
    </w:p>
    <w:p w14:paraId="19BA8741"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2）基金在任何交易日日终，持有的卖出股指期货合约价值不得超过基金持有的股票总市值的20%，持有的卖出国债期货合约价值不得超过基金持有的债券总市值的30%。</w:t>
      </w:r>
    </w:p>
    <w:p w14:paraId="23E37FC3"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3）基金在任何交易日内交易（不包括平仓）的股指期货合约的成交金额不得超过上一交易日基金资产净值的20%，在任何交易日内交易（不包括平仓）的国债期货合约的成交金额不得超过上一交易日基金资产净值的30%。</w:t>
      </w:r>
    </w:p>
    <w:p w14:paraId="69A929B0"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4）基金在任何交易日日终，持有的买入国债期货和股指期货合约价值与有价证券市值之和，不得超过基金资产净值的95%。</w:t>
      </w:r>
    </w:p>
    <w:p w14:paraId="19B13A94"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其中，有价证券指股票、债券（不含到期日在一年以内的政府债券）、资产支持证券、买入返售金融资产（不含质押式回购）等。</w:t>
      </w:r>
    </w:p>
    <w:p w14:paraId="3F20F9FC"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5）基金所持有的股票市值和买入、卖出股指期货合约价值，合计（轧差计算）应当符合基金合同关于股票投资比例的有关约定；</w:t>
      </w:r>
    </w:p>
    <w:p w14:paraId="6F23178E"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基金所持有的债券（不含到期日在一年以内的政府债券）市值和买入、卖出国债期货合约价值，合计（轧差计算）应当符合基金合同关于债券投资比例的有关约定；</w:t>
      </w:r>
    </w:p>
    <w:p w14:paraId="304B88B7"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（14）本基金参与股票期权交易的，应当符合下列要求：</w:t>
      </w:r>
    </w:p>
    <w:p w14:paraId="5CC89E22"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1）基金因未平仓的期权合约支付和收取的权利金总额不得超过基金资产净</w:t>
      </w:r>
      <w:r w:rsidRPr="006F4D70">
        <w:rPr>
          <w:rFonts w:asciiTheme="minorEastAsia" w:eastAsiaTheme="minorEastAsia" w:hAnsiTheme="minorEastAsia" w:cs="宋体" w:hint="eastAsia"/>
          <w:bCs/>
          <w:kern w:val="0"/>
          <w:szCs w:val="24"/>
        </w:rPr>
        <w:lastRenderedPageBreak/>
        <w:t>值的10%；</w:t>
      </w:r>
    </w:p>
    <w:p w14:paraId="17676D66"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2）开仓卖出认购期权的，应持有足额标的证券；开仓卖出认沽期权的，应持有合约行权所需的全额现金或交易所规则认可的可冲抵期权保证金的现金等价物；</w:t>
      </w:r>
    </w:p>
    <w:p w14:paraId="75DC9CDF"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3）未平仓的期权合约面值不得超过基金资产净值的20%，其中，合约面值按照行权价乘以合约乘数计算；</w:t>
      </w:r>
    </w:p>
    <w:p w14:paraId="2B7B076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（15）本基金不得持有信用保护卖方属性的信用衍生品，不得持有合约类信用衍生品，持有的信用衍生品的名义本金不得超过本基金对应受保护债券面值的100%；</w:t>
      </w:r>
    </w:p>
    <w:p w14:paraId="29D7E5F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（16）本基金投资于同一信用保护卖方的各类信用衍生品的名义本金合计不得超过基金资产净值的10%；</w:t>
      </w:r>
    </w:p>
    <w:p w14:paraId="5A9D1B2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因证券、期货市场波动、证券发行人合并、基金规模变动等基金管理人之外的因素致使基金不符合前述（15）、（16）所规定比例限制的，基金管理人应在3个月之内进行调整；</w:t>
      </w:r>
    </w:p>
    <w:p w14:paraId="58268CE4"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17</w:t>
      </w:r>
      <w:r w:rsidRPr="006F4D70">
        <w:rPr>
          <w:rFonts w:asciiTheme="minorEastAsia" w:eastAsiaTheme="minorEastAsia" w:hAnsiTheme="minorEastAsia" w:cs="宋体" w:hint="eastAsia"/>
          <w:bCs/>
          <w:kern w:val="0"/>
          <w:szCs w:val="24"/>
        </w:rPr>
        <w:t>）本基金与私募类证券资管产品及中国证监会认定的其他主体为交易对手开展逆回购交易的，可接受质押品的资质要求应当与基金合同约定的投资范围保持一致；</w:t>
      </w:r>
    </w:p>
    <w:p w14:paraId="59F7E0BE"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w:t>
      </w:r>
      <w:r w:rsidRPr="006F4D70">
        <w:rPr>
          <w:rFonts w:asciiTheme="minorEastAsia" w:eastAsiaTheme="minorEastAsia" w:hAnsiTheme="minorEastAsia" w:cs="宋体"/>
          <w:bCs/>
          <w:kern w:val="0"/>
          <w:szCs w:val="24"/>
        </w:rPr>
        <w:t>8</w:t>
      </w:r>
      <w:r w:rsidRPr="006F4D70">
        <w:rPr>
          <w:rFonts w:asciiTheme="minorEastAsia" w:eastAsiaTheme="minorEastAsia" w:hAnsiTheme="minorEastAsia" w:cs="宋体" w:hint="eastAsia"/>
          <w:bCs/>
          <w:kern w:val="0"/>
          <w:szCs w:val="24"/>
        </w:rPr>
        <w:t>）本基金主动投资于流动性受限资产的市值合计不得超过基金资产净值的15%；因证券市场波动、上市公司股票停牌、基金规模变动等基金管理人之外的因素致使基金不符合前款所规定的比例限制的，基金管理人不得主动新增流动性受限资产的投资；</w:t>
      </w:r>
    </w:p>
    <w:p w14:paraId="1575B1AB"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（1</w:t>
      </w:r>
      <w:r w:rsidRPr="006F4D70">
        <w:rPr>
          <w:rFonts w:asciiTheme="minorEastAsia" w:eastAsiaTheme="minorEastAsia" w:hAnsiTheme="minorEastAsia" w:cs="宋体"/>
          <w:bCs/>
          <w:kern w:val="0"/>
          <w:szCs w:val="24"/>
        </w:rPr>
        <w:t>9</w:t>
      </w:r>
      <w:r w:rsidRPr="006F4D70">
        <w:rPr>
          <w:rFonts w:asciiTheme="minorEastAsia" w:eastAsiaTheme="minorEastAsia" w:hAnsiTheme="minorEastAsia" w:cs="宋体" w:hint="eastAsia"/>
          <w:bCs/>
          <w:kern w:val="0"/>
          <w:szCs w:val="24"/>
        </w:rPr>
        <w:t>）参与融资业务后，在任何交易日日终，本基金持有的融资买入股票与其他有价证券市值之和，不得超过基金资产净值的95%；</w:t>
      </w:r>
    </w:p>
    <w:p w14:paraId="5F2D9C06" w14:textId="7B7B6108" w:rsidR="00595296" w:rsidRPr="006F4D70" w:rsidRDefault="002B7F4D">
      <w:pPr>
        <w:autoSpaceDE w:val="0"/>
        <w:autoSpaceDN w:val="0"/>
        <w:adjustRightInd w:val="0"/>
        <w:ind w:firstLine="480"/>
        <w:rPr>
          <w:rFonts w:asciiTheme="minorEastAsia" w:eastAsiaTheme="minorEastAsia" w:hAnsiTheme="minorEastAsia"/>
          <w:bCs/>
        </w:rPr>
      </w:pPr>
      <w:r w:rsidRPr="006F4D70">
        <w:rPr>
          <w:rFonts w:asciiTheme="minorEastAsia" w:eastAsiaTheme="minorEastAsia" w:hAnsiTheme="minorEastAsia" w:hint="eastAsia"/>
          <w:bCs/>
        </w:rPr>
        <w:t>（</w:t>
      </w:r>
      <w:r w:rsidRPr="006F4D70">
        <w:rPr>
          <w:rFonts w:asciiTheme="minorEastAsia" w:eastAsiaTheme="minorEastAsia" w:hAnsiTheme="minorEastAsia"/>
          <w:bCs/>
        </w:rPr>
        <w:t>20</w:t>
      </w:r>
      <w:r w:rsidRPr="006F4D70">
        <w:rPr>
          <w:rFonts w:asciiTheme="minorEastAsia" w:eastAsiaTheme="minorEastAsia" w:hAnsiTheme="minorEastAsia" w:hint="eastAsia"/>
          <w:bCs/>
        </w:rPr>
        <w:t>）本基金投资存托凭证的比例限制依照</w:t>
      </w:r>
      <w:r w:rsidR="00FB721A">
        <w:rPr>
          <w:rFonts w:asciiTheme="minorEastAsia" w:eastAsiaTheme="minorEastAsia" w:hAnsiTheme="minorEastAsia" w:hint="eastAsia"/>
          <w:bCs/>
        </w:rPr>
        <w:t>境内</w:t>
      </w:r>
      <w:r w:rsidRPr="006F4D70">
        <w:rPr>
          <w:rFonts w:asciiTheme="minorEastAsia" w:eastAsiaTheme="minorEastAsia" w:hAnsiTheme="minorEastAsia" w:hint="eastAsia"/>
          <w:bCs/>
        </w:rPr>
        <w:t>上市交易的股票执行</w:t>
      </w:r>
      <w:r w:rsidR="00FB721A" w:rsidRPr="00FB721A">
        <w:rPr>
          <w:rFonts w:asciiTheme="minorEastAsia" w:eastAsiaTheme="minorEastAsia" w:hAnsiTheme="minorEastAsia" w:hint="eastAsia"/>
          <w:bCs/>
        </w:rPr>
        <w:t>，与境内上市交易的股票合并计算，法律法规或监管机构另有规定从其规定</w:t>
      </w:r>
      <w:r w:rsidRPr="006F4D70">
        <w:rPr>
          <w:rFonts w:asciiTheme="minorEastAsia" w:eastAsiaTheme="minorEastAsia" w:hAnsiTheme="minorEastAsia" w:hint="eastAsia"/>
          <w:bCs/>
        </w:rPr>
        <w:t>；</w:t>
      </w:r>
    </w:p>
    <w:p w14:paraId="73C78724"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21</w:t>
      </w:r>
      <w:r w:rsidRPr="006F4D70">
        <w:rPr>
          <w:rFonts w:asciiTheme="minorEastAsia" w:eastAsiaTheme="minorEastAsia" w:hAnsiTheme="minorEastAsia" w:cs="宋体" w:hint="eastAsia"/>
          <w:bCs/>
          <w:kern w:val="0"/>
          <w:szCs w:val="24"/>
        </w:rPr>
        <w:t>）法律法规及中国证监会规定的和《基金合同》约定的其他投资限制。</w:t>
      </w:r>
    </w:p>
    <w:p w14:paraId="48985EA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法律法规或监管部门取消或调整上述限制，如适用于本基金，则在履行适当程序后，本基金投资不再受相关限制或按照调整后的规定执行，</w:t>
      </w:r>
      <w:r w:rsidRPr="006F4D70">
        <w:rPr>
          <w:rFonts w:asciiTheme="minorEastAsia" w:eastAsiaTheme="minorEastAsia" w:hAnsiTheme="minorEastAsia" w:hint="eastAsia"/>
          <w:color w:val="000000"/>
        </w:rPr>
        <w:t>基金管理人及时根据《信息披露办法》规定在</w:t>
      </w:r>
      <w:r w:rsidRPr="006F4D70">
        <w:rPr>
          <w:rFonts w:asciiTheme="minorEastAsia" w:eastAsiaTheme="minorEastAsia" w:hAnsiTheme="minorEastAsia" w:cs="宋体" w:hint="eastAsia"/>
          <w:kern w:val="0"/>
          <w:szCs w:val="24"/>
        </w:rPr>
        <w:t>规定媒介公告。</w:t>
      </w:r>
    </w:p>
    <w:p w14:paraId="1874CA39" w14:textId="5C256AFD"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lastRenderedPageBreak/>
        <w:t>除</w:t>
      </w:r>
      <w:r w:rsidR="00351CE0">
        <w:rPr>
          <w:rFonts w:asciiTheme="minorEastAsia" w:eastAsiaTheme="minorEastAsia" w:hAnsiTheme="minorEastAsia" w:cs="宋体" w:hint="eastAsia"/>
          <w:bCs/>
          <w:kern w:val="0"/>
          <w:szCs w:val="24"/>
        </w:rPr>
        <w:t>第</w:t>
      </w: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2</w:t>
      </w:r>
      <w:r w:rsidRPr="006F4D70">
        <w:rPr>
          <w:rFonts w:asciiTheme="minorEastAsia" w:eastAsiaTheme="minorEastAsia" w:hAnsiTheme="minorEastAsia" w:cs="宋体" w:hint="eastAsia"/>
          <w:bCs/>
          <w:kern w:val="0"/>
          <w:szCs w:val="24"/>
        </w:rPr>
        <w:t>）、（11）、（15）、（16）、（17）、（18）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37EA919" w14:textId="474F208A" w:rsidR="00595296"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1A0183D" w14:textId="0300702C" w:rsidR="00351CE0" w:rsidRPr="006F4D70" w:rsidRDefault="00351CE0">
      <w:pPr>
        <w:autoSpaceDE w:val="0"/>
        <w:autoSpaceDN w:val="0"/>
        <w:adjustRightInd w:val="0"/>
        <w:ind w:firstLine="480"/>
        <w:rPr>
          <w:rFonts w:asciiTheme="minorEastAsia" w:eastAsiaTheme="minorEastAsia" w:hAnsiTheme="minorEastAsia" w:cs="宋体"/>
          <w:bCs/>
          <w:kern w:val="0"/>
          <w:szCs w:val="24"/>
        </w:rPr>
      </w:pPr>
      <w:r w:rsidRPr="00351CE0">
        <w:rPr>
          <w:rFonts w:asciiTheme="minorEastAsia" w:eastAsiaTheme="minorEastAsia" w:hAnsiTheme="minorEastAsia" w:cs="宋体" w:hint="eastAsia"/>
          <w:bCs/>
          <w:kern w:val="0"/>
          <w:szCs w:val="24"/>
        </w:rPr>
        <w:t>法律法规或监管部门取消或调整上述限制，如适用于本基金，则在履行适当程序后，本基金投资不再受相关限制或按照调整后的规定执行，基金管理人及时根据《信息披露办法》规定在规定媒介公告。</w:t>
      </w:r>
    </w:p>
    <w:p w14:paraId="3D2A0D5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（二）禁止行为</w:t>
      </w:r>
    </w:p>
    <w:p w14:paraId="114F3DC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为维护基金份额持有人的合法权益，基金财产不得用于下列投资或者活动：</w:t>
      </w:r>
    </w:p>
    <w:p w14:paraId="28015CA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、承销证券；</w:t>
      </w:r>
    </w:p>
    <w:p w14:paraId="574C1AF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、违反规定向他人贷款或者提供担保；</w:t>
      </w:r>
    </w:p>
    <w:p w14:paraId="1DB3DE6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、从事承担无限责任的投资；</w:t>
      </w:r>
    </w:p>
    <w:p w14:paraId="18672F3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、买卖其他基金份额，</w:t>
      </w:r>
      <w:bookmarkStart w:id="188" w:name="_Hlk210042338"/>
      <w:r w:rsidRPr="006F4D70">
        <w:rPr>
          <w:rFonts w:asciiTheme="minorEastAsia" w:eastAsiaTheme="minorEastAsia" w:hAnsiTheme="minorEastAsia" w:cs="宋体" w:hint="eastAsia"/>
          <w:kern w:val="0"/>
          <w:szCs w:val="24"/>
        </w:rPr>
        <w:t>但是法律法规或中国证监会另有规定的除外</w:t>
      </w:r>
      <w:bookmarkEnd w:id="188"/>
      <w:r w:rsidRPr="006F4D70">
        <w:rPr>
          <w:rFonts w:asciiTheme="minorEastAsia" w:eastAsiaTheme="minorEastAsia" w:hAnsiTheme="minorEastAsia" w:cs="宋体" w:hint="eastAsia"/>
          <w:kern w:val="0"/>
          <w:szCs w:val="24"/>
        </w:rPr>
        <w:t>；</w:t>
      </w:r>
    </w:p>
    <w:p w14:paraId="498B341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5、向其基金管理人、基金托管人出资；</w:t>
      </w:r>
    </w:p>
    <w:p w14:paraId="7C5AFBE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6、从事内幕交易、操纵证券交易价格及其他不正当的证券交易活动；</w:t>
      </w:r>
    </w:p>
    <w:p w14:paraId="497F803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7、法律、行政法规和中国证监会规定禁止的其他活动。</w:t>
      </w:r>
    </w:p>
    <w:p w14:paraId="3B65FAE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如法律、行政法规或监管部门取消或调整上述禁止性规定，如适用于本基金，基金管理人在履行适当程序后，本基金可不受上述规定的限制或以调整后的规定为准。</w:t>
      </w:r>
    </w:p>
    <w:p w14:paraId="5257F3C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（三）关联交易原则</w:t>
      </w:r>
    </w:p>
    <w:p w14:paraId="132FA3B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sidRPr="006F4D70">
        <w:rPr>
          <w:rFonts w:asciiTheme="minorEastAsia" w:eastAsiaTheme="minorEastAsia" w:hAnsiTheme="minorEastAsia" w:cs="宋体" w:hint="eastAsia"/>
          <w:kern w:val="0"/>
          <w:szCs w:val="24"/>
        </w:rPr>
        <w:lastRenderedPageBreak/>
        <w:t>按法律法规予以披露。重大关联交易应提交基金管理人董事会审议，并经过三分之二以上的独立董事通过。基金管理人董事会应至少每半年对关联交易事项进行审查。</w:t>
      </w:r>
      <w:bookmarkEnd w:id="187"/>
    </w:p>
    <w:p w14:paraId="25A83A1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法律法规或监管部门取消或变更上述限制，如适用于本基金，基金管理人在履行适当程序后，则本基金投资不再受相关限制或按变更后的规定执行。</w:t>
      </w:r>
    </w:p>
    <w:p w14:paraId="41CA187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五、业绩比较基准</w:t>
      </w:r>
    </w:p>
    <w:p w14:paraId="01197456" w14:textId="5DC13D12" w:rsidR="00595296"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本基金的业绩比较基准：沪深</w:t>
      </w:r>
      <w:r w:rsidRPr="006F4D70">
        <w:rPr>
          <w:rFonts w:asciiTheme="minorEastAsia" w:eastAsiaTheme="minorEastAsia" w:hAnsiTheme="minorEastAsia" w:cs="宋体"/>
          <w:kern w:val="0"/>
          <w:szCs w:val="24"/>
        </w:rPr>
        <w:t>300指数收益率×60%+</w:t>
      </w:r>
      <w:r w:rsidR="00AC1397" w:rsidRPr="006F4D70">
        <w:rPr>
          <w:rFonts w:asciiTheme="minorEastAsia" w:eastAsiaTheme="minorEastAsia" w:hAnsiTheme="minorEastAsia" w:cs="宋体" w:hint="eastAsia"/>
          <w:kern w:val="0"/>
          <w:szCs w:val="24"/>
        </w:rPr>
        <w:t>中证</w:t>
      </w:r>
      <w:r w:rsidR="001F6D6E" w:rsidRPr="006F4D70">
        <w:rPr>
          <w:rFonts w:asciiTheme="minorEastAsia" w:eastAsiaTheme="minorEastAsia" w:hAnsiTheme="minorEastAsia" w:cs="宋体" w:hint="eastAsia"/>
          <w:kern w:val="0"/>
          <w:szCs w:val="24"/>
        </w:rPr>
        <w:t>港股通综合指数</w:t>
      </w:r>
      <w:r w:rsidR="00E71A88">
        <w:rPr>
          <w:rFonts w:asciiTheme="minorEastAsia" w:eastAsiaTheme="minorEastAsia" w:hAnsiTheme="minorEastAsia" w:cs="宋体" w:hint="eastAsia"/>
          <w:kern w:val="0"/>
          <w:szCs w:val="24"/>
        </w:rPr>
        <w:t>（港元）</w:t>
      </w:r>
      <w:r w:rsidR="001F6D6E" w:rsidRPr="006F4D70">
        <w:rPr>
          <w:rFonts w:asciiTheme="minorEastAsia" w:eastAsiaTheme="minorEastAsia" w:hAnsiTheme="minorEastAsia" w:cs="宋体" w:hint="eastAsia"/>
          <w:kern w:val="0"/>
          <w:szCs w:val="24"/>
        </w:rPr>
        <w:t>收益率</w:t>
      </w:r>
      <w:r w:rsidRPr="006F4D70">
        <w:rPr>
          <w:rFonts w:asciiTheme="minorEastAsia" w:eastAsiaTheme="minorEastAsia" w:hAnsiTheme="minorEastAsia" w:cs="宋体"/>
          <w:kern w:val="0"/>
          <w:szCs w:val="24"/>
        </w:rPr>
        <w:t>×20%+</w:t>
      </w:r>
      <w:r w:rsidR="00E71A88">
        <w:rPr>
          <w:rFonts w:hint="eastAsia"/>
          <w:bCs/>
        </w:rPr>
        <w:t>中债</w:t>
      </w:r>
      <w:r w:rsidR="00E71A88">
        <w:rPr>
          <w:rFonts w:hint="eastAsia"/>
          <w:bCs/>
        </w:rPr>
        <w:t>-</w:t>
      </w:r>
      <w:r w:rsidR="00E71A88">
        <w:rPr>
          <w:rFonts w:hint="eastAsia"/>
          <w:bCs/>
        </w:rPr>
        <w:t>综合全价（总值）指数</w:t>
      </w:r>
      <w:r w:rsidRPr="006F4D70">
        <w:rPr>
          <w:rFonts w:asciiTheme="minorEastAsia" w:eastAsiaTheme="minorEastAsia" w:hAnsiTheme="minorEastAsia" w:cs="宋体"/>
          <w:kern w:val="0"/>
          <w:szCs w:val="24"/>
        </w:rPr>
        <w:t>收益率×20%</w:t>
      </w:r>
      <w:r w:rsidRPr="006F4D70">
        <w:rPr>
          <w:rFonts w:asciiTheme="minorEastAsia" w:eastAsiaTheme="minorEastAsia" w:hAnsiTheme="minorEastAsia" w:cs="宋体" w:hint="eastAsia"/>
          <w:kern w:val="0"/>
          <w:szCs w:val="24"/>
        </w:rPr>
        <w:t>。</w:t>
      </w:r>
    </w:p>
    <w:p w14:paraId="479AD3E5" w14:textId="3C90F285" w:rsidR="008D3E85" w:rsidRPr="00ED520C" w:rsidRDefault="008D3E85" w:rsidP="008D3E85">
      <w:pPr>
        <w:pStyle w:val="a8"/>
        <w:adjustRightInd/>
        <w:ind w:left="357" w:firstLineChars="0" w:firstLine="0"/>
        <w:rPr>
          <w:bCs/>
        </w:rPr>
      </w:pPr>
      <w:r>
        <w:rPr>
          <w:rFonts w:hint="eastAsia"/>
          <w:bCs/>
        </w:rPr>
        <w:t>1、</w:t>
      </w:r>
      <w:r w:rsidRPr="00ED520C">
        <w:rPr>
          <w:rFonts w:hint="eastAsia"/>
          <w:bCs/>
        </w:rPr>
        <w:t>业绩比较基准设定的原因</w:t>
      </w:r>
    </w:p>
    <w:p w14:paraId="19BFC824" w14:textId="552082EB" w:rsidR="008D3E85" w:rsidRPr="00ED520C" w:rsidRDefault="008D3E85" w:rsidP="008D3E85">
      <w:pPr>
        <w:ind w:firstLine="480"/>
      </w:pPr>
      <w:r w:rsidRPr="00ED520C">
        <w:rPr>
          <w:rFonts w:ascii="宋体" w:hAnsi="Calibri" w:cs="宋体" w:hint="eastAsia"/>
          <w:szCs w:val="24"/>
        </w:rPr>
        <w:t>（1）基于基金投资范围以及预期投资的主要资产类别，本基金主要投资于A股股票、港股通</w:t>
      </w:r>
      <w:r w:rsidR="00893148">
        <w:rPr>
          <w:rFonts w:ascii="宋体" w:hAnsi="Calibri" w:cs="宋体" w:hint="eastAsia"/>
          <w:szCs w:val="24"/>
        </w:rPr>
        <w:t>标的</w:t>
      </w:r>
      <w:r w:rsidRPr="00ED520C">
        <w:rPr>
          <w:rFonts w:ascii="宋体" w:hAnsi="Calibri" w:cs="宋体" w:hint="eastAsia"/>
          <w:szCs w:val="24"/>
        </w:rPr>
        <w:t>股票、债券等资产，相应选取与之匹配的A股指数、港股指数、债券指数作为基准要素。</w:t>
      </w:r>
      <w:r w:rsidRPr="00ED520C">
        <w:rPr>
          <w:rFonts w:hint="eastAsia"/>
        </w:rPr>
        <w:t>同时基于本基金投资于股票、存托凭证的比例为基金资产的</w:t>
      </w:r>
      <w:r w:rsidRPr="00ED520C">
        <w:t>60%-95%</w:t>
      </w:r>
      <w:r w:rsidRPr="00ED520C">
        <w:t>（港股通标的股票投资比例不超过本基金股票资产的</w:t>
      </w:r>
      <w:r w:rsidRPr="00ED520C">
        <w:t>50%</w:t>
      </w:r>
      <w:r w:rsidRPr="00ED520C">
        <w:t>）</w:t>
      </w:r>
      <w:r w:rsidRPr="00ED520C">
        <w:rPr>
          <w:rFonts w:hint="eastAsia"/>
        </w:rPr>
        <w:t>等投资比例限制，以及预期的资产配置比例中枢，本基金将股票资产与债券资产所对应的基准要素权重分别设置为</w:t>
      </w:r>
      <w:r w:rsidRPr="00ED520C">
        <w:t>80</w:t>
      </w:r>
      <w:r w:rsidRPr="00ED520C">
        <w:rPr>
          <w:rFonts w:hint="eastAsia"/>
        </w:rPr>
        <w:t>%</w:t>
      </w:r>
      <w:r w:rsidRPr="00ED520C">
        <w:rPr>
          <w:rFonts w:hint="eastAsia"/>
        </w:rPr>
        <w:t>与</w:t>
      </w:r>
      <w:r w:rsidRPr="00ED520C">
        <w:t>2</w:t>
      </w:r>
      <w:r w:rsidRPr="00ED520C">
        <w:rPr>
          <w:rFonts w:hint="eastAsia"/>
        </w:rPr>
        <w:t>0%,</w:t>
      </w:r>
      <w:r w:rsidRPr="00ED520C">
        <w:rPr>
          <w:rFonts w:hint="eastAsia"/>
        </w:rPr>
        <w:t>其中将股票资产中的</w:t>
      </w:r>
      <w:r w:rsidRPr="00ED520C">
        <w:rPr>
          <w:rFonts w:hint="eastAsia"/>
        </w:rPr>
        <w:t>A</w:t>
      </w:r>
      <w:r w:rsidRPr="00ED520C">
        <w:rPr>
          <w:rFonts w:hint="eastAsia"/>
        </w:rPr>
        <w:t>股股票与港股通</w:t>
      </w:r>
      <w:r w:rsidR="00893148">
        <w:rPr>
          <w:rFonts w:hint="eastAsia"/>
        </w:rPr>
        <w:t>标的</w:t>
      </w:r>
      <w:r w:rsidRPr="00ED520C">
        <w:rPr>
          <w:rFonts w:hint="eastAsia"/>
        </w:rPr>
        <w:t>股票所对应的基准要素权重分别设置为</w:t>
      </w:r>
      <w:r>
        <w:rPr>
          <w:rFonts w:hint="eastAsia"/>
        </w:rPr>
        <w:t>60</w:t>
      </w:r>
      <w:r w:rsidRPr="00ED520C">
        <w:rPr>
          <w:rFonts w:hint="eastAsia"/>
        </w:rPr>
        <w:t>%</w:t>
      </w:r>
      <w:r w:rsidRPr="00ED520C">
        <w:rPr>
          <w:rFonts w:hint="eastAsia"/>
        </w:rPr>
        <w:t>与</w:t>
      </w:r>
      <w:r>
        <w:rPr>
          <w:rFonts w:hint="eastAsia"/>
        </w:rPr>
        <w:t>20</w:t>
      </w:r>
      <w:r w:rsidRPr="00ED520C">
        <w:rPr>
          <w:rFonts w:hint="eastAsia"/>
        </w:rPr>
        <w:t>%</w:t>
      </w:r>
      <w:r w:rsidRPr="00ED520C">
        <w:rPr>
          <w:rFonts w:hint="eastAsia"/>
        </w:rPr>
        <w:t>。</w:t>
      </w:r>
    </w:p>
    <w:p w14:paraId="6D6DDFA6" w14:textId="5950CE67" w:rsidR="008D3E85" w:rsidRPr="00ED520C" w:rsidRDefault="008D3E85" w:rsidP="008D3E85">
      <w:pPr>
        <w:ind w:firstLine="480"/>
      </w:pPr>
      <w:r w:rsidRPr="00ED520C">
        <w:rPr>
          <w:rFonts w:ascii="宋体" w:hAnsi="Calibri" w:cs="宋体" w:hint="eastAsia"/>
          <w:szCs w:val="24"/>
        </w:rPr>
        <w:t>（2）</w:t>
      </w:r>
      <w:r w:rsidRPr="00ED520C">
        <w:rPr>
          <w:rFonts w:hint="eastAsia"/>
        </w:rPr>
        <w:t>基于基金投资目标、投资范围和投资策略，本基金的股票资产</w:t>
      </w:r>
      <w:r w:rsidRPr="008D3E85">
        <w:rPr>
          <w:rFonts w:hint="eastAsia"/>
        </w:rPr>
        <w:t>遵循价值投资理念，通过投资估值合理的高品质公司，</w:t>
      </w:r>
      <w:r w:rsidRPr="00ED520C">
        <w:rPr>
          <w:rFonts w:hint="eastAsia"/>
        </w:rPr>
        <w:t>力求为基金份额持有人获取持续稳定的超额收益，预期整体风格特征与基准指数比较一致。综合考虑基准指数与产品定位和投资风格的匹配度，同时兼顾考虑基准指数的表征性、认可度，以及指数盘别</w:t>
      </w:r>
      <w:r w:rsidRPr="00ED520C">
        <w:rPr>
          <w:rFonts w:hint="eastAsia"/>
        </w:rPr>
        <w:t>/</w:t>
      </w:r>
      <w:r w:rsidRPr="00ED520C">
        <w:rPr>
          <w:rFonts w:hint="eastAsia"/>
        </w:rPr>
        <w:t>市值覆盖、风格特征、行业与个股分布等，本基金选取</w:t>
      </w:r>
      <w:r w:rsidRPr="008D3E85">
        <w:rPr>
          <w:rFonts w:hint="eastAsia"/>
        </w:rPr>
        <w:t>沪深</w:t>
      </w:r>
      <w:r w:rsidRPr="008D3E85">
        <w:rPr>
          <w:rFonts w:hint="eastAsia"/>
        </w:rPr>
        <w:t>300</w:t>
      </w:r>
      <w:r w:rsidRPr="008D3E85">
        <w:rPr>
          <w:rFonts w:hint="eastAsia"/>
        </w:rPr>
        <w:t>指数</w:t>
      </w:r>
      <w:r>
        <w:rPr>
          <w:rFonts w:hint="eastAsia"/>
        </w:rPr>
        <w:t>收益率</w:t>
      </w:r>
      <w:r w:rsidRPr="00ED520C">
        <w:rPr>
          <w:rFonts w:hint="eastAsia"/>
        </w:rPr>
        <w:t>和</w:t>
      </w:r>
      <w:r w:rsidRPr="008D3E85">
        <w:rPr>
          <w:rFonts w:hint="eastAsia"/>
        </w:rPr>
        <w:t>中证港股通综合指数</w:t>
      </w:r>
      <w:r w:rsidR="00E71A88">
        <w:rPr>
          <w:rFonts w:hint="eastAsia"/>
        </w:rPr>
        <w:t>（港元）</w:t>
      </w:r>
      <w:r w:rsidRPr="008D3E85">
        <w:rPr>
          <w:rFonts w:hint="eastAsia"/>
        </w:rPr>
        <w:t>收益率</w:t>
      </w:r>
      <w:r w:rsidRPr="00ED520C">
        <w:rPr>
          <w:rFonts w:hint="eastAsia"/>
        </w:rPr>
        <w:t>分别作为</w:t>
      </w:r>
      <w:r w:rsidRPr="00ED520C">
        <w:rPr>
          <w:rFonts w:hint="eastAsia"/>
        </w:rPr>
        <w:t>A</w:t>
      </w:r>
      <w:r w:rsidRPr="00ED520C">
        <w:rPr>
          <w:rFonts w:hint="eastAsia"/>
        </w:rPr>
        <w:t>股股票和港股通</w:t>
      </w:r>
      <w:r w:rsidR="00893148">
        <w:rPr>
          <w:rFonts w:hint="eastAsia"/>
        </w:rPr>
        <w:t>标的</w:t>
      </w:r>
      <w:r w:rsidRPr="00ED520C">
        <w:rPr>
          <w:rFonts w:hint="eastAsia"/>
        </w:rPr>
        <w:t>股票部分的基准要素。</w:t>
      </w:r>
    </w:p>
    <w:p w14:paraId="2B29C397" w14:textId="1E79E2C0" w:rsidR="008D3E85" w:rsidRPr="008D3E85" w:rsidRDefault="008D3E85" w:rsidP="008D3E85">
      <w:pPr>
        <w:ind w:firstLine="480"/>
      </w:pPr>
      <w:r w:rsidRPr="008D3E85">
        <w:rPr>
          <w:rFonts w:hint="eastAsia"/>
        </w:rPr>
        <w:t>沪深</w:t>
      </w:r>
      <w:r w:rsidRPr="008D3E85">
        <w:rPr>
          <w:rFonts w:hint="eastAsia"/>
        </w:rPr>
        <w:t>300</w:t>
      </w:r>
      <w:r w:rsidRPr="008D3E85">
        <w:rPr>
          <w:rFonts w:hint="eastAsia"/>
        </w:rPr>
        <w:t>指数</w:t>
      </w:r>
      <w:r>
        <w:rPr>
          <w:rFonts w:hint="eastAsia"/>
        </w:rPr>
        <w:t>由</w:t>
      </w:r>
      <w:r w:rsidRPr="008D3E85">
        <w:rPr>
          <w:rFonts w:hint="eastAsia"/>
        </w:rPr>
        <w:t>中证指数有限公司</w:t>
      </w:r>
      <w:r>
        <w:rPr>
          <w:rFonts w:hint="eastAsia"/>
        </w:rPr>
        <w:t>编制，</w:t>
      </w:r>
      <w:r w:rsidRPr="008D3E85">
        <w:rPr>
          <w:rFonts w:hint="eastAsia"/>
        </w:rPr>
        <w:t>由沪深市场中规模大、流动性好的最具代表性的</w:t>
      </w:r>
      <w:r w:rsidRPr="008D3E85">
        <w:rPr>
          <w:rFonts w:hint="eastAsia"/>
        </w:rPr>
        <w:t>300</w:t>
      </w:r>
      <w:r w:rsidRPr="008D3E85">
        <w:rPr>
          <w:rFonts w:hint="eastAsia"/>
        </w:rPr>
        <w:t>只证券组成，于</w:t>
      </w:r>
      <w:r w:rsidRPr="008D3E85">
        <w:rPr>
          <w:rFonts w:hint="eastAsia"/>
        </w:rPr>
        <w:t>2005</w:t>
      </w:r>
      <w:r w:rsidRPr="008D3E85">
        <w:rPr>
          <w:rFonts w:hint="eastAsia"/>
        </w:rPr>
        <w:t>年</w:t>
      </w:r>
      <w:r w:rsidRPr="008D3E85">
        <w:rPr>
          <w:rFonts w:hint="eastAsia"/>
        </w:rPr>
        <w:t>4</w:t>
      </w:r>
      <w:r w:rsidRPr="008D3E85">
        <w:rPr>
          <w:rFonts w:hint="eastAsia"/>
        </w:rPr>
        <w:t>月</w:t>
      </w:r>
      <w:r w:rsidRPr="008D3E85">
        <w:rPr>
          <w:rFonts w:hint="eastAsia"/>
        </w:rPr>
        <w:t>8</w:t>
      </w:r>
      <w:r w:rsidRPr="008D3E85">
        <w:rPr>
          <w:rFonts w:hint="eastAsia"/>
        </w:rPr>
        <w:t>日正式发布，以反映沪深市场上市公司证券的整体表现。</w:t>
      </w:r>
      <w:r w:rsidRPr="00ED520C">
        <w:rPr>
          <w:rFonts w:ascii="宋体" w:hAnsi="Calibri" w:cs="宋体" w:hint="eastAsia"/>
          <w:szCs w:val="24"/>
        </w:rPr>
        <w:t>该指数编制合理、透明，市场覆盖率较广，不易被操纵，并且有较高的知名度和市场影响力，与本基金投资策略、投资风格比较匹配，适合作为本基金</w:t>
      </w:r>
      <w:r w:rsidRPr="00ED520C">
        <w:rPr>
          <w:rFonts w:ascii="宋体" w:hAnsi="Calibri" w:cs="宋体"/>
          <w:szCs w:val="24"/>
        </w:rPr>
        <w:t>A股股票</w:t>
      </w:r>
      <w:r w:rsidRPr="00ED520C">
        <w:rPr>
          <w:rFonts w:ascii="宋体" w:hAnsi="Calibri" w:cs="宋体" w:hint="eastAsia"/>
          <w:szCs w:val="24"/>
        </w:rPr>
        <w:t>投资</w:t>
      </w:r>
      <w:r w:rsidR="00893148">
        <w:rPr>
          <w:rFonts w:ascii="宋体" w:hAnsi="Calibri" w:cs="宋体" w:hint="eastAsia"/>
          <w:szCs w:val="24"/>
        </w:rPr>
        <w:t>部分</w:t>
      </w:r>
      <w:r w:rsidRPr="00ED520C">
        <w:rPr>
          <w:rFonts w:ascii="宋体" w:hAnsi="Calibri" w:cs="宋体"/>
          <w:szCs w:val="24"/>
        </w:rPr>
        <w:t>的业绩比较基准</w:t>
      </w:r>
      <w:r w:rsidRPr="00ED520C">
        <w:rPr>
          <w:rFonts w:ascii="宋体" w:hAnsi="Calibri" w:cs="宋体" w:hint="eastAsia"/>
          <w:szCs w:val="24"/>
        </w:rPr>
        <w:t>要素</w:t>
      </w:r>
      <w:r w:rsidRPr="00ED520C">
        <w:rPr>
          <w:rFonts w:ascii="宋体" w:hAnsi="Calibri" w:cs="宋体"/>
          <w:szCs w:val="24"/>
        </w:rPr>
        <w:t>。</w:t>
      </w:r>
    </w:p>
    <w:p w14:paraId="7C413B10" w14:textId="0C0B30B8" w:rsidR="008D3E85" w:rsidRPr="00ED520C" w:rsidRDefault="008D3E85" w:rsidP="008D3E85">
      <w:pPr>
        <w:ind w:firstLine="480"/>
        <w:rPr>
          <w:rFonts w:ascii="宋体" w:hAnsi="Calibri" w:cs="宋体"/>
          <w:szCs w:val="24"/>
        </w:rPr>
      </w:pPr>
      <w:r w:rsidRPr="008D3E85">
        <w:rPr>
          <w:rFonts w:ascii="宋体" w:hAnsi="Calibri" w:cs="宋体" w:hint="eastAsia"/>
          <w:szCs w:val="24"/>
        </w:rPr>
        <w:t>中证港股通综合指数</w:t>
      </w:r>
      <w:r w:rsidR="00E71A88">
        <w:rPr>
          <w:rFonts w:ascii="宋体" w:hAnsi="Calibri" w:cs="宋体" w:hint="eastAsia"/>
          <w:szCs w:val="24"/>
        </w:rPr>
        <w:t>（港元）</w:t>
      </w:r>
      <w:r w:rsidRPr="00ED520C">
        <w:rPr>
          <w:rFonts w:ascii="宋体" w:hAnsi="Calibri" w:cs="宋体" w:hint="eastAsia"/>
          <w:szCs w:val="24"/>
        </w:rPr>
        <w:t>由中证指数有限公司编制，选取符合港股通资</w:t>
      </w:r>
      <w:r w:rsidRPr="00ED520C">
        <w:rPr>
          <w:rFonts w:ascii="宋体" w:hAnsi="Calibri" w:cs="宋体" w:hint="eastAsia"/>
          <w:szCs w:val="24"/>
        </w:rPr>
        <w:lastRenderedPageBreak/>
        <w:t>格的上市公司证券作为样本股，采用自由流通市值加权计算，以反映港股通范围内上市公司的整体状况和走势，适合作为本基金</w:t>
      </w:r>
      <w:r w:rsidR="00893148" w:rsidRPr="002873BF">
        <w:rPr>
          <w:rFonts w:ascii="宋体" w:hAnsi="Calibri" w:cs="宋体" w:hint="eastAsia"/>
          <w:szCs w:val="24"/>
        </w:rPr>
        <w:t>港股通</w:t>
      </w:r>
      <w:r w:rsidR="00893148" w:rsidRPr="00CE36D0">
        <w:rPr>
          <w:rFonts w:ascii="宋体" w:hAnsi="Calibri" w:cs="宋体"/>
          <w:szCs w:val="24"/>
        </w:rPr>
        <w:t>标的</w:t>
      </w:r>
      <w:r w:rsidR="00893148" w:rsidRPr="002873BF">
        <w:rPr>
          <w:rFonts w:ascii="宋体" w:hAnsi="Calibri" w:cs="宋体" w:hint="eastAsia"/>
          <w:szCs w:val="24"/>
        </w:rPr>
        <w:t>股票</w:t>
      </w:r>
      <w:r w:rsidRPr="00ED520C">
        <w:rPr>
          <w:rFonts w:ascii="宋体" w:hAnsi="Calibri" w:cs="宋体" w:hint="eastAsia"/>
          <w:szCs w:val="24"/>
        </w:rPr>
        <w:t>投资</w:t>
      </w:r>
      <w:r w:rsidR="00893148">
        <w:rPr>
          <w:rFonts w:ascii="宋体" w:hAnsi="Calibri" w:cs="宋体" w:hint="eastAsia"/>
          <w:szCs w:val="24"/>
        </w:rPr>
        <w:t>部分</w:t>
      </w:r>
      <w:r w:rsidRPr="00ED520C">
        <w:rPr>
          <w:rFonts w:ascii="宋体" w:hAnsi="Calibri" w:cs="宋体"/>
          <w:szCs w:val="24"/>
        </w:rPr>
        <w:t>的业绩比较基准</w:t>
      </w:r>
      <w:r w:rsidRPr="00ED520C">
        <w:rPr>
          <w:rFonts w:ascii="宋体" w:hAnsi="Calibri" w:cs="宋体" w:hint="eastAsia"/>
          <w:szCs w:val="24"/>
        </w:rPr>
        <w:t>要素</w:t>
      </w:r>
      <w:r w:rsidRPr="00ED520C">
        <w:rPr>
          <w:rFonts w:ascii="宋体" w:hAnsi="Calibri" w:cs="宋体"/>
          <w:szCs w:val="24"/>
        </w:rPr>
        <w:t>。</w:t>
      </w:r>
    </w:p>
    <w:p w14:paraId="6D83D264" w14:textId="28410940" w:rsidR="008D3E85" w:rsidRPr="00ED520C" w:rsidRDefault="008D3E85" w:rsidP="008D3E85">
      <w:pPr>
        <w:ind w:firstLine="480"/>
      </w:pPr>
      <w:r w:rsidRPr="00ED520C">
        <w:rPr>
          <w:rFonts w:ascii="宋体" w:hAnsi="Calibri" w:cs="宋体" w:hint="eastAsia"/>
          <w:szCs w:val="24"/>
        </w:rPr>
        <w:t>（3）</w:t>
      </w:r>
      <w:r w:rsidRPr="00ED520C">
        <w:rPr>
          <w:rFonts w:hint="eastAsia"/>
        </w:rPr>
        <w:t>基于基金投资目标、投资范围和投资策略，本基金的债券资产主要通过</w:t>
      </w:r>
      <w:r w:rsidRPr="008D3E85">
        <w:rPr>
          <w:rFonts w:hint="eastAsia"/>
        </w:rPr>
        <w:t>久期配置、期限结构配置、类属资产配置、收益率曲线策略、杠杆放大策略等组合管理手段进行日常管理，</w:t>
      </w:r>
      <w:r w:rsidRPr="00ED520C">
        <w:rPr>
          <w:rFonts w:hint="eastAsia"/>
        </w:rPr>
        <w:t>预期组合</w:t>
      </w:r>
      <w:r>
        <w:rPr>
          <w:rFonts w:hint="eastAsia"/>
        </w:rPr>
        <w:t>特征</w:t>
      </w:r>
      <w:r w:rsidRPr="00ED520C">
        <w:rPr>
          <w:rFonts w:hint="eastAsia"/>
        </w:rPr>
        <w:t>与基准指数比较一致。综合考虑基准指数与产品定位和投资风格的匹配度，同时兼顾考虑基准指数的表征性、认可度，以及基准指数券种、久期、信用等级分布特征等，选取</w:t>
      </w:r>
      <w:r w:rsidRPr="00ED520C">
        <w:t>中债</w:t>
      </w:r>
      <w:r w:rsidRPr="00ED520C">
        <w:t>-</w:t>
      </w:r>
      <w:r w:rsidRPr="00ED520C">
        <w:t>综合全价</w:t>
      </w:r>
      <w:r w:rsidRPr="00ED520C">
        <w:t>(</w:t>
      </w:r>
      <w:r w:rsidRPr="00ED520C">
        <w:t>总值</w:t>
      </w:r>
      <w:r w:rsidRPr="00ED520C">
        <w:t>)</w:t>
      </w:r>
      <w:r w:rsidRPr="00ED520C">
        <w:t>指数</w:t>
      </w:r>
      <w:r w:rsidRPr="00ED520C">
        <w:rPr>
          <w:rFonts w:hint="eastAsia"/>
        </w:rPr>
        <w:t>作为债券</w:t>
      </w:r>
      <w:r w:rsidR="0030351B">
        <w:rPr>
          <w:rFonts w:hint="eastAsia"/>
        </w:rPr>
        <w:t>投资</w:t>
      </w:r>
      <w:r w:rsidRPr="00ED520C">
        <w:rPr>
          <w:rFonts w:hint="eastAsia"/>
        </w:rPr>
        <w:t>部分的业绩比较基准要素。</w:t>
      </w:r>
    </w:p>
    <w:p w14:paraId="752B30A6" w14:textId="77777777" w:rsidR="008D3E85" w:rsidRPr="00ED520C" w:rsidRDefault="008D3E85" w:rsidP="008D3E85">
      <w:pPr>
        <w:autoSpaceDE w:val="0"/>
        <w:autoSpaceDN w:val="0"/>
        <w:ind w:firstLine="480"/>
        <w:rPr>
          <w:rFonts w:ascii="宋体" w:hAnsi="Calibri" w:cs="宋体"/>
          <w:szCs w:val="24"/>
        </w:rPr>
      </w:pPr>
      <w:r w:rsidRPr="00ED520C">
        <w:rPr>
          <w:rFonts w:ascii="宋体" w:hAnsi="Calibri" w:cs="宋体" w:hint="eastAsia"/>
          <w:szCs w:val="24"/>
        </w:rPr>
        <w:t>中债-综合</w:t>
      </w:r>
      <w:r w:rsidRPr="00ED520C">
        <w:rPr>
          <w:rFonts w:ascii="宋体" w:hAnsi="宋体" w:hint="eastAsia"/>
          <w:szCs w:val="24"/>
        </w:rPr>
        <w:t>全价</w:t>
      </w:r>
      <w:r w:rsidRPr="00ED520C">
        <w:rPr>
          <w:rFonts w:ascii="宋体" w:hAnsi="宋体"/>
          <w:szCs w:val="24"/>
        </w:rPr>
        <w:t>(总值)</w:t>
      </w:r>
      <w:r w:rsidRPr="00ED520C">
        <w:rPr>
          <w:rFonts w:ascii="宋体" w:hAnsi="Calibri" w:cs="宋体" w:hint="eastAsia"/>
          <w:szCs w:val="24"/>
        </w:rPr>
        <w:t>指数是由中债金融估值中心有限公司编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投资部分的业绩比较基准要素。</w:t>
      </w:r>
    </w:p>
    <w:p w14:paraId="1217F839" w14:textId="4C04CB8E" w:rsidR="008D3E85" w:rsidRPr="008D3E85" w:rsidRDefault="008D3E85" w:rsidP="008D3E85">
      <w:pPr>
        <w:ind w:firstLine="480"/>
        <w:rPr>
          <w:rFonts w:ascii="宋体" w:hAnsi="Calibri" w:cs="宋体"/>
          <w:szCs w:val="24"/>
        </w:rPr>
      </w:pPr>
      <w:r w:rsidRPr="00ED520C">
        <w:rPr>
          <w:rFonts w:hint="eastAsia"/>
        </w:rPr>
        <w:t>综上，本基金选取的业绩比较基准与基金投资目标、投资范围、投资策略、投资比例限制相匹配。</w:t>
      </w:r>
    </w:p>
    <w:p w14:paraId="6AB4EBB7" w14:textId="045DDB2D" w:rsidR="00043A1B" w:rsidRPr="005D3213" w:rsidRDefault="00043A1B" w:rsidP="005D3213">
      <w:pPr>
        <w:pStyle w:val="aff2"/>
        <w:numPr>
          <w:ilvl w:val="0"/>
          <w:numId w:val="7"/>
        </w:numPr>
        <w:ind w:firstLineChars="0"/>
        <w:rPr>
          <w:rFonts w:asciiTheme="minorEastAsia" w:eastAsiaTheme="minorEastAsia" w:hAnsiTheme="minorEastAsia" w:cs="宋体"/>
          <w:kern w:val="0"/>
          <w:szCs w:val="24"/>
        </w:rPr>
      </w:pPr>
      <w:r w:rsidRPr="005D3213">
        <w:rPr>
          <w:rFonts w:asciiTheme="minorEastAsia" w:eastAsiaTheme="minorEastAsia" w:hAnsiTheme="minorEastAsia" w:cs="宋体" w:hint="eastAsia"/>
          <w:kern w:val="0"/>
          <w:szCs w:val="24"/>
        </w:rPr>
        <w:t>业绩比较基准要素的基本信息</w:t>
      </w:r>
    </w:p>
    <w:p w14:paraId="49FB156A" w14:textId="2458BA84" w:rsidR="00043A1B" w:rsidRPr="00043A1B" w:rsidRDefault="00043A1B" w:rsidP="00043A1B">
      <w:pPr>
        <w:autoSpaceDE w:val="0"/>
        <w:autoSpaceDN w:val="0"/>
        <w:adjustRightInd w:val="0"/>
        <w:ind w:firstLine="480"/>
        <w:rPr>
          <w:rFonts w:asciiTheme="minorEastAsia" w:eastAsiaTheme="minorEastAsia" w:hAnsiTheme="minorEastAsia" w:cs="宋体"/>
          <w:kern w:val="0"/>
          <w:szCs w:val="24"/>
        </w:rPr>
      </w:pPr>
      <w:r w:rsidRPr="00043A1B">
        <w:rPr>
          <w:rFonts w:asciiTheme="minorEastAsia" w:eastAsiaTheme="minorEastAsia" w:hAnsiTheme="minorEastAsia" w:cs="宋体" w:hint="eastAsia"/>
          <w:kern w:val="0"/>
          <w:szCs w:val="24"/>
        </w:rPr>
        <w:t>沪深300指数由中证指数有限公司编制发布，指数代码为000300，</w:t>
      </w:r>
      <w:bookmarkStart w:id="189" w:name="_Hlk224895565"/>
      <w:r w:rsidR="00893148">
        <w:rPr>
          <w:rFonts w:asciiTheme="minorEastAsia" w:eastAsiaTheme="minorEastAsia" w:hAnsiTheme="minorEastAsia" w:cs="宋体" w:hint="eastAsia"/>
          <w:kern w:val="0"/>
          <w:szCs w:val="24"/>
        </w:rPr>
        <w:t>指数</w:t>
      </w:r>
      <w:bookmarkEnd w:id="189"/>
      <w:r w:rsidRPr="00043A1B">
        <w:rPr>
          <w:rFonts w:asciiTheme="minorEastAsia" w:eastAsiaTheme="minorEastAsia" w:hAnsiTheme="minorEastAsia" w:cs="宋体" w:hint="eastAsia"/>
          <w:kern w:val="0"/>
          <w:szCs w:val="24"/>
        </w:rPr>
        <w:t>具体信息详见中证指数有限公司网站，网址：</w:t>
      </w:r>
      <w:r w:rsidRPr="005D3213">
        <w:rPr>
          <w:rFonts w:ascii="Times New Roman" w:eastAsiaTheme="minorEastAsia" w:hAnsi="Times New Roman"/>
          <w:kern w:val="0"/>
          <w:szCs w:val="24"/>
        </w:rPr>
        <w:t>www.csindex.com.cn</w:t>
      </w:r>
      <w:r w:rsidRPr="00043A1B">
        <w:rPr>
          <w:rFonts w:asciiTheme="minorEastAsia" w:eastAsiaTheme="minorEastAsia" w:hAnsiTheme="minorEastAsia" w:cs="宋体" w:hint="eastAsia"/>
          <w:kern w:val="0"/>
          <w:szCs w:val="24"/>
        </w:rPr>
        <w:t>。</w:t>
      </w:r>
    </w:p>
    <w:p w14:paraId="40715CF9" w14:textId="7AF83237" w:rsidR="00043A1B" w:rsidRPr="00043A1B" w:rsidRDefault="00043A1B" w:rsidP="00043A1B">
      <w:pPr>
        <w:autoSpaceDE w:val="0"/>
        <w:autoSpaceDN w:val="0"/>
        <w:adjustRightInd w:val="0"/>
        <w:ind w:firstLine="480"/>
        <w:rPr>
          <w:rFonts w:asciiTheme="minorEastAsia" w:eastAsiaTheme="minorEastAsia" w:hAnsiTheme="minorEastAsia" w:cs="宋体"/>
          <w:kern w:val="0"/>
          <w:szCs w:val="24"/>
        </w:rPr>
      </w:pPr>
      <w:r w:rsidRPr="00043A1B">
        <w:rPr>
          <w:rFonts w:asciiTheme="minorEastAsia" w:eastAsiaTheme="minorEastAsia" w:hAnsiTheme="minorEastAsia" w:cs="宋体" w:hint="eastAsia"/>
          <w:kern w:val="0"/>
          <w:szCs w:val="24"/>
        </w:rPr>
        <w:t>中证港股通综合指数</w:t>
      </w:r>
      <w:r w:rsidR="0075638C">
        <w:rPr>
          <w:rFonts w:asciiTheme="minorEastAsia" w:eastAsiaTheme="minorEastAsia" w:hAnsiTheme="minorEastAsia" w:cs="宋体" w:hint="eastAsia"/>
          <w:kern w:val="0"/>
          <w:szCs w:val="24"/>
        </w:rPr>
        <w:t>（港元）</w:t>
      </w:r>
      <w:r w:rsidRPr="00043A1B">
        <w:rPr>
          <w:rFonts w:asciiTheme="minorEastAsia" w:eastAsiaTheme="minorEastAsia" w:hAnsiTheme="minorEastAsia" w:cs="宋体" w:hint="eastAsia"/>
          <w:kern w:val="0"/>
          <w:szCs w:val="24"/>
        </w:rPr>
        <w:t>由中证指数有限公司编制发布，指数代码为930930，</w:t>
      </w:r>
      <w:r w:rsidR="00893148">
        <w:rPr>
          <w:rFonts w:asciiTheme="minorEastAsia" w:eastAsiaTheme="minorEastAsia" w:hAnsiTheme="minorEastAsia" w:cs="宋体" w:hint="eastAsia"/>
          <w:kern w:val="0"/>
          <w:szCs w:val="24"/>
        </w:rPr>
        <w:t>指数</w:t>
      </w:r>
      <w:r w:rsidRPr="00043A1B">
        <w:rPr>
          <w:rFonts w:asciiTheme="minorEastAsia" w:eastAsiaTheme="minorEastAsia" w:hAnsiTheme="minorEastAsia" w:cs="宋体" w:hint="eastAsia"/>
          <w:kern w:val="0"/>
          <w:szCs w:val="24"/>
        </w:rPr>
        <w:t>具体信息详见中证指数有限公司网站，网址：</w:t>
      </w:r>
      <w:r w:rsidRPr="005D3213">
        <w:rPr>
          <w:rFonts w:ascii="Times New Roman" w:eastAsiaTheme="minorEastAsia" w:hAnsi="Times New Roman"/>
          <w:kern w:val="0"/>
          <w:szCs w:val="24"/>
        </w:rPr>
        <w:t>www.csindex.com.cn</w:t>
      </w:r>
      <w:r w:rsidRPr="00043A1B">
        <w:rPr>
          <w:rFonts w:asciiTheme="minorEastAsia" w:eastAsiaTheme="minorEastAsia" w:hAnsiTheme="minorEastAsia" w:cs="宋体" w:hint="eastAsia"/>
          <w:kern w:val="0"/>
          <w:szCs w:val="24"/>
        </w:rPr>
        <w:t>。</w:t>
      </w:r>
    </w:p>
    <w:p w14:paraId="3367597C" w14:textId="30A066A2" w:rsidR="00043A1B" w:rsidRDefault="00043A1B" w:rsidP="00043A1B">
      <w:pPr>
        <w:autoSpaceDE w:val="0"/>
        <w:autoSpaceDN w:val="0"/>
        <w:adjustRightInd w:val="0"/>
        <w:ind w:firstLine="480"/>
        <w:rPr>
          <w:rFonts w:asciiTheme="minorEastAsia" w:eastAsiaTheme="minorEastAsia" w:hAnsiTheme="minorEastAsia" w:cs="宋体"/>
          <w:kern w:val="0"/>
          <w:szCs w:val="24"/>
        </w:rPr>
      </w:pPr>
      <w:r w:rsidRPr="00043A1B">
        <w:rPr>
          <w:rFonts w:asciiTheme="minorEastAsia" w:eastAsiaTheme="minorEastAsia" w:hAnsiTheme="minorEastAsia" w:cs="宋体" w:hint="eastAsia"/>
          <w:kern w:val="0"/>
          <w:szCs w:val="24"/>
        </w:rPr>
        <w:t>中债-综合全价（总值）指数由中债金融估值中心有限公司编制发布，指数代码为</w:t>
      </w:r>
      <w:r w:rsidRPr="005D3213">
        <w:rPr>
          <w:rFonts w:ascii="Times New Roman" w:eastAsiaTheme="minorEastAsia" w:hAnsi="Times New Roman"/>
          <w:kern w:val="0"/>
          <w:szCs w:val="24"/>
        </w:rPr>
        <w:t>CBA</w:t>
      </w:r>
      <w:r w:rsidRPr="00043A1B">
        <w:rPr>
          <w:rFonts w:asciiTheme="minorEastAsia" w:eastAsiaTheme="minorEastAsia" w:hAnsiTheme="minorEastAsia" w:cs="宋体" w:hint="eastAsia"/>
          <w:kern w:val="0"/>
          <w:szCs w:val="24"/>
        </w:rPr>
        <w:t>00203，</w:t>
      </w:r>
      <w:r w:rsidR="00E07242">
        <w:rPr>
          <w:rFonts w:asciiTheme="minorEastAsia" w:eastAsiaTheme="minorEastAsia" w:hAnsiTheme="minorEastAsia" w:cs="宋体" w:hint="eastAsia"/>
          <w:kern w:val="0"/>
          <w:szCs w:val="24"/>
        </w:rPr>
        <w:t>指数</w:t>
      </w:r>
      <w:r w:rsidRPr="00043A1B">
        <w:rPr>
          <w:rFonts w:asciiTheme="minorEastAsia" w:eastAsiaTheme="minorEastAsia" w:hAnsiTheme="minorEastAsia" w:cs="宋体" w:hint="eastAsia"/>
          <w:kern w:val="0"/>
          <w:szCs w:val="24"/>
        </w:rPr>
        <w:t>具体信息详见中国债券信息网，网址：</w:t>
      </w:r>
      <w:r w:rsidRPr="005D3213">
        <w:rPr>
          <w:rFonts w:ascii="Times New Roman" w:eastAsiaTheme="minorEastAsia" w:hAnsi="Times New Roman"/>
          <w:kern w:val="0"/>
          <w:szCs w:val="24"/>
        </w:rPr>
        <w:t>www.chinabond.com.cn</w:t>
      </w:r>
      <w:r w:rsidRPr="00043A1B">
        <w:rPr>
          <w:rFonts w:asciiTheme="minorEastAsia" w:eastAsiaTheme="minorEastAsia" w:hAnsiTheme="minorEastAsia" w:cs="宋体" w:hint="eastAsia"/>
          <w:kern w:val="0"/>
          <w:szCs w:val="24"/>
        </w:rPr>
        <w:t>。</w:t>
      </w:r>
    </w:p>
    <w:p w14:paraId="5629D09A" w14:textId="148E222E" w:rsidR="005824BE" w:rsidRDefault="0075638C">
      <w:pPr>
        <w:autoSpaceDE w:val="0"/>
        <w:autoSpaceDN w:val="0"/>
        <w:adjustRightInd w:val="0"/>
        <w:ind w:firstLine="480"/>
        <w:rPr>
          <w:rFonts w:asciiTheme="minorEastAsia" w:eastAsiaTheme="minorEastAsia" w:hAnsiTheme="minorEastAsia" w:cs="宋体"/>
          <w:kern w:val="0"/>
          <w:szCs w:val="24"/>
        </w:rPr>
      </w:pPr>
      <w:r>
        <w:rPr>
          <w:rFonts w:asciiTheme="minorEastAsia" w:eastAsiaTheme="minorEastAsia" w:hAnsiTheme="minorEastAsia" w:cs="宋体"/>
          <w:kern w:val="0"/>
          <w:szCs w:val="24"/>
        </w:rPr>
        <w:t>3</w:t>
      </w:r>
      <w:r w:rsidR="005824BE">
        <w:rPr>
          <w:rFonts w:asciiTheme="minorEastAsia" w:eastAsiaTheme="minorEastAsia" w:hAnsiTheme="minorEastAsia" w:cs="宋体" w:hint="eastAsia"/>
          <w:kern w:val="0"/>
          <w:szCs w:val="24"/>
        </w:rPr>
        <w:t>、</w:t>
      </w:r>
      <w:r w:rsidR="005824BE" w:rsidRPr="005824BE">
        <w:rPr>
          <w:rFonts w:asciiTheme="minorEastAsia" w:eastAsiaTheme="minorEastAsia" w:hAnsiTheme="minorEastAsia" w:cs="宋体" w:hint="eastAsia"/>
          <w:kern w:val="0"/>
          <w:szCs w:val="24"/>
        </w:rPr>
        <w:t>业绩比较基准的计算方法</w:t>
      </w:r>
    </w:p>
    <w:p w14:paraId="71A0B688" w14:textId="2E3CD5B6" w:rsidR="005824BE" w:rsidRPr="00ED520C" w:rsidRDefault="005824BE" w:rsidP="009B42D2">
      <w:pPr>
        <w:ind w:firstLine="480"/>
        <w:rPr>
          <w:rFonts w:ascii="Times New Roman" w:hAnsi="Times New Roman"/>
          <w:b/>
          <w:bCs/>
          <w:szCs w:val="24"/>
        </w:rPr>
      </w:pPr>
      <w:r w:rsidRPr="00ED520C">
        <w:rPr>
          <w:rFonts w:cs="宋体" w:hint="eastAsia"/>
          <w:szCs w:val="24"/>
        </w:rPr>
        <w:t>本基金业绩比较基准收益率的计算方法以每日收益率为基础，以时间加权为计算原则。本基金先分别计算业绩比较基准中</w:t>
      </w:r>
      <w:r w:rsidR="00A2671C" w:rsidRPr="00A2671C">
        <w:rPr>
          <w:rFonts w:cs="宋体" w:hint="eastAsia"/>
          <w:szCs w:val="24"/>
        </w:rPr>
        <w:t>沪深</w:t>
      </w:r>
      <w:r w:rsidR="00A2671C" w:rsidRPr="00A2671C">
        <w:rPr>
          <w:rFonts w:cs="宋体" w:hint="eastAsia"/>
          <w:szCs w:val="24"/>
        </w:rPr>
        <w:t>300</w:t>
      </w:r>
      <w:r w:rsidR="00A2671C" w:rsidRPr="00A2671C">
        <w:rPr>
          <w:rFonts w:cs="宋体" w:hint="eastAsia"/>
          <w:szCs w:val="24"/>
        </w:rPr>
        <w:t>指数</w:t>
      </w:r>
      <w:r w:rsidRPr="00ED520C">
        <w:rPr>
          <w:rFonts w:cs="宋体" w:hint="eastAsia"/>
          <w:szCs w:val="24"/>
        </w:rPr>
        <w:t>、</w:t>
      </w:r>
      <w:r w:rsidRPr="00ED520C">
        <w:rPr>
          <w:rFonts w:cs="宋体"/>
          <w:szCs w:val="24"/>
        </w:rPr>
        <w:t>中证港股通综合指数</w:t>
      </w:r>
      <w:r w:rsidR="0075638C">
        <w:rPr>
          <w:rFonts w:cs="宋体" w:hint="eastAsia"/>
          <w:szCs w:val="24"/>
        </w:rPr>
        <w:t>（港元）</w:t>
      </w:r>
      <w:r w:rsidRPr="00ED520C">
        <w:rPr>
          <w:rFonts w:cs="宋体" w:hint="eastAsia"/>
          <w:szCs w:val="24"/>
        </w:rPr>
        <w:t>、</w:t>
      </w:r>
      <w:r w:rsidR="00A2671C" w:rsidRPr="00043A1B">
        <w:rPr>
          <w:rFonts w:asciiTheme="minorEastAsia" w:eastAsiaTheme="minorEastAsia" w:hAnsiTheme="minorEastAsia" w:cs="宋体" w:hint="eastAsia"/>
          <w:kern w:val="0"/>
          <w:szCs w:val="24"/>
        </w:rPr>
        <w:t>中债-综合全价（总值）指数</w:t>
      </w:r>
      <w:r w:rsidRPr="00ED520C">
        <w:rPr>
          <w:rFonts w:cs="宋体" w:hint="eastAsia"/>
          <w:szCs w:val="24"/>
        </w:rPr>
        <w:t>的每日收益率，再按照预设权重比例计算当日组合要素基准的日收益率，并连乘每日收益率。</w:t>
      </w:r>
      <w:r w:rsidR="009B42D2" w:rsidRPr="009B42D2">
        <w:rPr>
          <w:rFonts w:cs="宋体" w:hint="eastAsia"/>
          <w:szCs w:val="24"/>
        </w:rPr>
        <w:t>其中，</w:t>
      </w:r>
      <w:r w:rsidR="009B42D2" w:rsidRPr="00ED520C">
        <w:rPr>
          <w:rFonts w:cs="宋体"/>
          <w:szCs w:val="24"/>
        </w:rPr>
        <w:t>中证港股通综合指</w:t>
      </w:r>
      <w:r w:rsidR="009B42D2" w:rsidRPr="00ED520C">
        <w:rPr>
          <w:rFonts w:cs="宋体"/>
          <w:szCs w:val="24"/>
        </w:rPr>
        <w:lastRenderedPageBreak/>
        <w:t>数</w:t>
      </w:r>
      <w:r w:rsidR="009B42D2">
        <w:rPr>
          <w:rFonts w:cs="宋体" w:hint="eastAsia"/>
          <w:szCs w:val="24"/>
        </w:rPr>
        <w:t>（港元）</w:t>
      </w:r>
      <w:r w:rsidR="009B42D2" w:rsidRPr="009B42D2">
        <w:rPr>
          <w:rFonts w:cs="宋体" w:hint="eastAsia"/>
          <w:szCs w:val="24"/>
        </w:rPr>
        <w:t>收益率采用估值汇率进行调整，由港元计价折算为人民币计价后，再纳入计算。</w:t>
      </w:r>
    </w:p>
    <w:p w14:paraId="780673EB" w14:textId="6EDF6468" w:rsidR="005824BE" w:rsidRDefault="0075638C">
      <w:pPr>
        <w:autoSpaceDE w:val="0"/>
        <w:autoSpaceDN w:val="0"/>
        <w:adjustRightInd w:val="0"/>
        <w:ind w:firstLine="480"/>
        <w:rPr>
          <w:rFonts w:asciiTheme="minorEastAsia" w:eastAsiaTheme="minorEastAsia" w:hAnsiTheme="minorEastAsia" w:cs="宋体"/>
          <w:kern w:val="0"/>
          <w:szCs w:val="24"/>
        </w:rPr>
      </w:pPr>
      <w:r>
        <w:rPr>
          <w:rFonts w:asciiTheme="minorEastAsia" w:eastAsiaTheme="minorEastAsia" w:hAnsiTheme="minorEastAsia" w:cs="宋体"/>
          <w:kern w:val="0"/>
          <w:szCs w:val="24"/>
        </w:rPr>
        <w:t>4</w:t>
      </w:r>
      <w:r w:rsidR="005824BE">
        <w:rPr>
          <w:rFonts w:asciiTheme="minorEastAsia" w:eastAsiaTheme="minorEastAsia" w:hAnsiTheme="minorEastAsia" w:cs="宋体" w:hint="eastAsia"/>
          <w:kern w:val="0"/>
          <w:szCs w:val="24"/>
        </w:rPr>
        <w:t>、</w:t>
      </w:r>
      <w:r w:rsidR="005824BE" w:rsidRPr="005824BE">
        <w:rPr>
          <w:rFonts w:asciiTheme="minorEastAsia" w:eastAsiaTheme="minorEastAsia" w:hAnsiTheme="minorEastAsia" w:cs="宋体" w:hint="eastAsia"/>
          <w:kern w:val="0"/>
          <w:szCs w:val="24"/>
        </w:rPr>
        <w:t>管理投资偏离业绩比较基准的方法</w:t>
      </w:r>
    </w:p>
    <w:p w14:paraId="409177BE" w14:textId="77777777" w:rsidR="005824BE" w:rsidRDefault="005824BE" w:rsidP="005824BE">
      <w:pPr>
        <w:ind w:firstLine="480"/>
      </w:pPr>
      <w:r w:rsidRPr="00ED520C">
        <w:rPr>
          <w:rFonts w:hint="eastAsia"/>
        </w:rPr>
        <w:t>本基金管理人对基金实际投资与业绩比较基准的偏离情况进行动态跟踪与监测评估，监测指标主要包括超额收益、股票仓位偏离及股票行业偏离等</w:t>
      </w:r>
      <w:r w:rsidRPr="00ED520C">
        <w:rPr>
          <w:rFonts w:hint="eastAsia"/>
        </w:rPr>
        <w:t>,</w:t>
      </w:r>
      <w:r>
        <w:rPr>
          <w:rFonts w:hint="eastAsia"/>
        </w:rPr>
        <w:t>以更好管理基金实际投资与业绩比较基准的偏离情况，从而在控制风险的基础上追求超越业绩比较基准的投资回报。</w:t>
      </w:r>
    </w:p>
    <w:p w14:paraId="27AB99DA" w14:textId="77777777" w:rsidR="005824BE" w:rsidRPr="00553EC0" w:rsidRDefault="005824BE" w:rsidP="005824BE">
      <w:pPr>
        <w:autoSpaceDE w:val="0"/>
        <w:autoSpaceDN w:val="0"/>
        <w:ind w:firstLine="480"/>
        <w:rPr>
          <w:rFonts w:ascii="宋体" w:hAnsi="Calibri" w:cs="宋体"/>
          <w:bCs/>
          <w:szCs w:val="24"/>
        </w:rPr>
      </w:pPr>
      <w:r>
        <w:rPr>
          <w:rFonts w:hint="eastAsia"/>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1C7C6545" w14:textId="0B1BD9F4" w:rsidR="005824BE" w:rsidRDefault="0075638C">
      <w:pPr>
        <w:autoSpaceDE w:val="0"/>
        <w:autoSpaceDN w:val="0"/>
        <w:adjustRightInd w:val="0"/>
        <w:ind w:firstLine="480"/>
        <w:rPr>
          <w:rFonts w:asciiTheme="minorEastAsia" w:eastAsiaTheme="minorEastAsia" w:hAnsiTheme="minorEastAsia" w:cs="宋体"/>
          <w:kern w:val="0"/>
          <w:szCs w:val="24"/>
        </w:rPr>
      </w:pPr>
      <w:r>
        <w:rPr>
          <w:rFonts w:asciiTheme="minorEastAsia" w:eastAsiaTheme="minorEastAsia" w:hAnsiTheme="minorEastAsia" w:cs="宋体"/>
          <w:kern w:val="0"/>
          <w:szCs w:val="24"/>
        </w:rPr>
        <w:t>5</w:t>
      </w:r>
      <w:r w:rsidR="005824BE">
        <w:rPr>
          <w:rFonts w:asciiTheme="minorEastAsia" w:eastAsiaTheme="minorEastAsia" w:hAnsiTheme="minorEastAsia" w:cs="宋体" w:hint="eastAsia"/>
          <w:kern w:val="0"/>
          <w:szCs w:val="24"/>
        </w:rPr>
        <w:t>、</w:t>
      </w:r>
      <w:r w:rsidR="005824BE" w:rsidRPr="005824BE">
        <w:rPr>
          <w:rFonts w:asciiTheme="minorEastAsia" w:eastAsiaTheme="minorEastAsia" w:hAnsiTheme="minorEastAsia" w:cs="宋体" w:hint="eastAsia"/>
          <w:kern w:val="0"/>
          <w:szCs w:val="24"/>
        </w:rPr>
        <w:t>未来可能变更业绩比较基准的情况和程序</w:t>
      </w:r>
    </w:p>
    <w:p w14:paraId="4ED9D2BB" w14:textId="77777777" w:rsidR="005824BE" w:rsidRPr="00553EC0" w:rsidRDefault="005824BE" w:rsidP="005824BE">
      <w:pPr>
        <w:autoSpaceDE w:val="0"/>
        <w:autoSpaceDN w:val="0"/>
        <w:ind w:firstLine="480"/>
        <w:rPr>
          <w:rFonts w:ascii="宋体" w:hAnsi="Calibri" w:cs="宋体"/>
          <w:bCs/>
          <w:szCs w:val="24"/>
        </w:rPr>
      </w:pPr>
      <w:r w:rsidRPr="00553EC0">
        <w:rPr>
          <w:rFonts w:ascii="宋体" w:hAnsi="Calibri" w:cs="宋体" w:hint="eastAsia"/>
          <w:bCs/>
          <w:szCs w:val="24"/>
        </w:rPr>
        <w:t>业绩比较基准变更符合下列条件之一且对基金份额持有人利益无实质不利影响的，基金管理人应当与基金托管人协商，在新业绩比较基准生效之前三十日公告并充分说明变更原因、差异及影响</w:t>
      </w:r>
      <w:r w:rsidRPr="00D0169B">
        <w:rPr>
          <w:rFonts w:ascii="宋体" w:hAnsi="Calibri" w:cs="宋体" w:hint="eastAsia"/>
          <w:bCs/>
          <w:szCs w:val="24"/>
        </w:rPr>
        <w:t>，无需召开基金份额持有人大会</w:t>
      </w:r>
      <w:r w:rsidRPr="00553EC0">
        <w:rPr>
          <w:rFonts w:ascii="宋体" w:hAnsi="Calibri" w:cs="宋体" w:hint="eastAsia"/>
          <w:bCs/>
          <w:szCs w:val="24"/>
        </w:rPr>
        <w:t>：</w:t>
      </w:r>
    </w:p>
    <w:p w14:paraId="15763670" w14:textId="77777777" w:rsidR="005824BE" w:rsidRPr="00553EC0" w:rsidRDefault="005824BE" w:rsidP="005824BE">
      <w:pPr>
        <w:autoSpaceDE w:val="0"/>
        <w:autoSpaceDN w:val="0"/>
        <w:ind w:firstLine="480"/>
        <w:rPr>
          <w:rFonts w:ascii="宋体" w:hAnsi="Calibri" w:cs="宋体"/>
          <w:bCs/>
          <w:szCs w:val="24"/>
        </w:rPr>
      </w:pPr>
      <w:r w:rsidRPr="00553EC0">
        <w:rPr>
          <w:rFonts w:ascii="宋体" w:hAnsi="Calibri" w:cs="宋体" w:hint="eastAsia"/>
          <w:bCs/>
          <w:szCs w:val="24"/>
        </w:rPr>
        <w:t>（</w:t>
      </w:r>
      <w:r w:rsidRPr="00553EC0">
        <w:rPr>
          <w:rFonts w:ascii="宋体" w:hAnsi="Calibri" w:cs="宋体"/>
          <w:bCs/>
          <w:szCs w:val="24"/>
        </w:rPr>
        <w:t>1）</w:t>
      </w:r>
      <w:r w:rsidRPr="00D0169B">
        <w:rPr>
          <w:rFonts w:ascii="宋体" w:hAnsi="Calibri" w:cs="宋体" w:hint="eastAsia"/>
          <w:bCs/>
          <w:szCs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3132CBE" w14:textId="77777777" w:rsidR="005824BE" w:rsidRPr="00553EC0" w:rsidRDefault="005824BE" w:rsidP="005824BE">
      <w:pPr>
        <w:autoSpaceDE w:val="0"/>
        <w:autoSpaceDN w:val="0"/>
        <w:ind w:firstLine="480"/>
        <w:rPr>
          <w:rFonts w:ascii="宋体" w:hAnsi="Calibri" w:cs="宋体"/>
          <w:bCs/>
          <w:szCs w:val="24"/>
        </w:rPr>
      </w:pPr>
      <w:r w:rsidRPr="00553EC0">
        <w:rPr>
          <w:rFonts w:ascii="宋体" w:hAnsi="Calibri" w:cs="宋体" w:hint="eastAsia"/>
          <w:bCs/>
          <w:szCs w:val="24"/>
        </w:rPr>
        <w:t>（</w:t>
      </w:r>
      <w:r w:rsidRPr="00553EC0">
        <w:rPr>
          <w:rFonts w:ascii="宋体" w:hAnsi="Calibri" w:cs="宋体"/>
          <w:bCs/>
          <w:szCs w:val="24"/>
        </w:rPr>
        <w:t>2）</w:t>
      </w:r>
      <w:r w:rsidRPr="00D0169B">
        <w:rPr>
          <w:rFonts w:ascii="宋体" w:hAnsi="Calibri" w:cs="宋体" w:hint="eastAsia"/>
          <w:bCs/>
          <w:szCs w:val="24"/>
        </w:rPr>
        <w:t>调整业绩比较基准的要素权重、更换相同或相近特征的要素等，使新业绩比较基准代表性更强，且符合相关法律法规规定的；</w:t>
      </w:r>
    </w:p>
    <w:p w14:paraId="41A86EDB" w14:textId="77777777" w:rsidR="005824BE" w:rsidRPr="00553EC0" w:rsidRDefault="005824BE" w:rsidP="005824BE">
      <w:pPr>
        <w:autoSpaceDE w:val="0"/>
        <w:autoSpaceDN w:val="0"/>
        <w:ind w:firstLine="480"/>
        <w:rPr>
          <w:rFonts w:ascii="宋体" w:hAnsi="Calibri" w:cs="宋体"/>
          <w:bCs/>
          <w:szCs w:val="24"/>
        </w:rPr>
      </w:pPr>
      <w:r w:rsidRPr="00553EC0">
        <w:rPr>
          <w:rFonts w:ascii="宋体" w:hAnsi="Calibri" w:cs="宋体" w:hint="eastAsia"/>
          <w:bCs/>
          <w:szCs w:val="24"/>
        </w:rPr>
        <w:t>（</w:t>
      </w:r>
      <w:r w:rsidRPr="00553EC0">
        <w:rPr>
          <w:rFonts w:ascii="宋体" w:hAnsi="Calibri" w:cs="宋体"/>
          <w:bCs/>
          <w:szCs w:val="24"/>
        </w:rPr>
        <w:t>3）中国证监会认可的其他情形。</w:t>
      </w:r>
    </w:p>
    <w:p w14:paraId="75B1AEE2" w14:textId="77777777" w:rsidR="005824BE" w:rsidRPr="00553EC0" w:rsidRDefault="005824BE" w:rsidP="005824BE">
      <w:pPr>
        <w:autoSpaceDE w:val="0"/>
        <w:autoSpaceDN w:val="0"/>
        <w:ind w:firstLine="480"/>
        <w:rPr>
          <w:rFonts w:ascii="宋体" w:hAnsi="Calibri" w:cs="宋体"/>
          <w:bCs/>
          <w:szCs w:val="24"/>
        </w:rPr>
      </w:pPr>
      <w:r w:rsidRPr="00553EC0">
        <w:rPr>
          <w:rFonts w:ascii="宋体" w:hAnsi="Calibri" w:cs="宋体" w:hint="eastAsia"/>
          <w:bCs/>
          <w:szCs w:val="24"/>
        </w:rPr>
        <w:t>业绩比较基准变更涉及以下情形的，基金管理人应当按照规定履行变更注册、召开基金份额持有人大会等程序</w:t>
      </w:r>
      <w:r w:rsidRPr="00D0169B">
        <w:rPr>
          <w:rFonts w:ascii="宋体" w:hAnsi="Calibri" w:cs="宋体" w:hint="eastAsia"/>
          <w:bCs/>
          <w:szCs w:val="24"/>
        </w:rPr>
        <w:t>，法律法规、中国证监会另有规定的除外</w:t>
      </w:r>
      <w:r w:rsidRPr="00553EC0">
        <w:rPr>
          <w:rFonts w:ascii="宋体" w:hAnsi="Calibri" w:cs="宋体" w:hint="eastAsia"/>
          <w:bCs/>
          <w:szCs w:val="24"/>
        </w:rPr>
        <w:t>：</w:t>
      </w:r>
    </w:p>
    <w:p w14:paraId="3C8F0073" w14:textId="77777777" w:rsidR="005824BE" w:rsidRPr="00553EC0" w:rsidRDefault="005824BE" w:rsidP="005824BE">
      <w:pPr>
        <w:autoSpaceDE w:val="0"/>
        <w:autoSpaceDN w:val="0"/>
        <w:ind w:firstLine="480"/>
        <w:rPr>
          <w:rFonts w:ascii="宋体" w:hAnsi="Calibri" w:cs="宋体"/>
          <w:bCs/>
          <w:szCs w:val="24"/>
        </w:rPr>
      </w:pPr>
      <w:r w:rsidRPr="00553EC0">
        <w:rPr>
          <w:rFonts w:ascii="宋体" w:hAnsi="Calibri" w:cs="宋体" w:hint="eastAsia"/>
          <w:bCs/>
          <w:szCs w:val="24"/>
        </w:rPr>
        <w:t>（</w:t>
      </w:r>
      <w:r w:rsidRPr="00553EC0">
        <w:rPr>
          <w:rFonts w:ascii="宋体" w:hAnsi="Calibri" w:cs="宋体"/>
          <w:bCs/>
          <w:szCs w:val="24"/>
        </w:rPr>
        <w:t>1）本基金投资目标、投资范围、投资策略、投资比例等</w:t>
      </w:r>
      <w:r w:rsidRPr="001B6F55">
        <w:rPr>
          <w:rFonts w:ascii="宋体" w:hAnsi="Calibri" w:cs="宋体" w:hint="eastAsia"/>
          <w:bCs/>
          <w:szCs w:val="24"/>
        </w:rPr>
        <w:t>拟</w:t>
      </w:r>
      <w:r w:rsidRPr="00553EC0">
        <w:rPr>
          <w:rFonts w:ascii="宋体" w:hAnsi="Calibri" w:cs="宋体"/>
          <w:bCs/>
          <w:szCs w:val="24"/>
        </w:rPr>
        <w:t>进行重大调整，并变更业绩比较基准的；</w:t>
      </w:r>
    </w:p>
    <w:p w14:paraId="5511086E" w14:textId="77777777" w:rsidR="005824BE" w:rsidRPr="00553EC0" w:rsidRDefault="005824BE" w:rsidP="005824BE">
      <w:pPr>
        <w:autoSpaceDE w:val="0"/>
        <w:autoSpaceDN w:val="0"/>
        <w:ind w:firstLine="480"/>
        <w:rPr>
          <w:rFonts w:ascii="宋体" w:hAnsi="Calibri" w:cs="宋体"/>
          <w:b/>
          <w:bCs/>
          <w:szCs w:val="24"/>
        </w:rPr>
      </w:pPr>
      <w:r w:rsidRPr="00553EC0">
        <w:rPr>
          <w:rFonts w:ascii="宋体" w:hAnsi="Calibri" w:cs="宋体" w:hint="eastAsia"/>
          <w:bCs/>
          <w:szCs w:val="24"/>
        </w:rPr>
        <w:t>（</w:t>
      </w:r>
      <w:r w:rsidRPr="00553EC0">
        <w:rPr>
          <w:rFonts w:ascii="宋体" w:hAnsi="Calibri" w:cs="宋体"/>
          <w:bCs/>
          <w:szCs w:val="24"/>
        </w:rPr>
        <w:t>2）其他对基金份额持有人利益产生重大实质性影响的情形。</w:t>
      </w:r>
    </w:p>
    <w:p w14:paraId="209CE420"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lastRenderedPageBreak/>
        <w:t>六、风险收益特征</w:t>
      </w:r>
    </w:p>
    <w:p w14:paraId="3DE8574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本基金是一只混合型基金，其预期风险与预期收益高于债券型基金与货币市场基金，低于股票型基金。</w:t>
      </w:r>
    </w:p>
    <w:p w14:paraId="1569D6E1" w14:textId="73AD3900"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w:t>
      </w:r>
      <w:r w:rsidR="00351CE0" w:rsidRPr="00351CE0">
        <w:rPr>
          <w:rFonts w:asciiTheme="minorEastAsia" w:eastAsiaTheme="minorEastAsia" w:hAnsiTheme="minorEastAsia" w:cs="宋体" w:hint="eastAsia"/>
          <w:kern w:val="0"/>
          <w:szCs w:val="24"/>
        </w:rPr>
        <w:t>若投资港股通标的股票</w:t>
      </w:r>
      <w:r w:rsidR="00351CE0">
        <w:rPr>
          <w:rFonts w:asciiTheme="minorEastAsia" w:eastAsiaTheme="minorEastAsia" w:hAnsiTheme="minorEastAsia" w:cs="宋体" w:hint="eastAsia"/>
          <w:kern w:val="0"/>
          <w:szCs w:val="24"/>
        </w:rPr>
        <w:t>，会</w:t>
      </w:r>
      <w:r w:rsidRPr="006F4D70">
        <w:rPr>
          <w:rFonts w:asciiTheme="minorEastAsia" w:eastAsiaTheme="minorEastAsia" w:hAnsiTheme="minorEastAsia" w:cs="宋体" w:hint="eastAsia"/>
          <w:kern w:val="0"/>
          <w:szCs w:val="24"/>
        </w:rPr>
        <w:t>面临港股通机制下因投资环境、投资标的、市场制度以及交易规则等差异带来的特有风险。</w:t>
      </w:r>
    </w:p>
    <w:p w14:paraId="1865282B"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七、基金管理人代表基金行使股东或债权人权利的处理原则及方法</w:t>
      </w:r>
    </w:p>
    <w:p w14:paraId="7BC2B67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 xml:space="preserve">1、基金管理人按照国家有关规定代表基金独立行使股东或债权人权利，保护基金份额持有人的利益； </w:t>
      </w:r>
    </w:p>
    <w:p w14:paraId="77DEB99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 xml:space="preserve">2、不谋求对上市公司的控股； </w:t>
      </w:r>
    </w:p>
    <w:p w14:paraId="36829EE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 xml:space="preserve">3、有利于基金财产的安全与增值； </w:t>
      </w:r>
    </w:p>
    <w:p w14:paraId="4C172E6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4、不通过关联交易为自身、雇员、授权代理人或任何存在利害关系的第三人牟取任何不当利益。</w:t>
      </w:r>
    </w:p>
    <w:p w14:paraId="305B21FF"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bookmarkStart w:id="190" w:name="_Hlk131362207"/>
      <w:r w:rsidRPr="006F4D70">
        <w:rPr>
          <w:rFonts w:asciiTheme="minorEastAsia" w:eastAsiaTheme="minorEastAsia" w:hAnsiTheme="minorEastAsia" w:cs="宋体" w:hint="eastAsia"/>
          <w:b/>
          <w:kern w:val="0"/>
          <w:szCs w:val="24"/>
        </w:rPr>
        <w:t>八、侧袋机制的实施和投资运作安排</w:t>
      </w:r>
    </w:p>
    <w:p w14:paraId="3333F68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B863A9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侧袋机制实施期间，本部分约定的投资组合比例、投资策略、组合限制、业绩比较基准、风险收益特征等约定仅适用于主袋账户。</w:t>
      </w:r>
    </w:p>
    <w:p w14:paraId="1781A11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侧袋账户的实施条件、实施程序、运作安排、投资安排、特定资产的处置变现和支付等对投资者权益有重大影响的事项详见招募说明书的规定。</w:t>
      </w:r>
      <w:bookmarkEnd w:id="184"/>
    </w:p>
    <w:bookmarkEnd w:id="190"/>
    <w:p w14:paraId="630EF102" w14:textId="77777777" w:rsidR="00595296" w:rsidRPr="006F4D70" w:rsidRDefault="002B7F4D">
      <w:pPr>
        <w:widowControl/>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br w:type="page"/>
      </w:r>
    </w:p>
    <w:p w14:paraId="4F40D642" w14:textId="77777777" w:rsidR="00595296" w:rsidRPr="006F4D70" w:rsidRDefault="002B7F4D">
      <w:pPr>
        <w:pStyle w:val="1"/>
        <w:ind w:firstLine="602"/>
        <w:rPr>
          <w:rFonts w:asciiTheme="minorEastAsia" w:eastAsiaTheme="minorEastAsia" w:hAnsiTheme="minorEastAsia"/>
          <w:kern w:val="0"/>
        </w:rPr>
      </w:pPr>
      <w:bookmarkStart w:id="191" w:name="_Toc377998628"/>
      <w:bookmarkStart w:id="192" w:name="_Toc198902625"/>
      <w:r w:rsidRPr="006F4D70">
        <w:rPr>
          <w:rFonts w:asciiTheme="minorEastAsia" w:eastAsiaTheme="minorEastAsia" w:hAnsiTheme="minorEastAsia" w:hint="eastAsia"/>
          <w:kern w:val="0"/>
        </w:rPr>
        <w:lastRenderedPageBreak/>
        <w:t>第十三部分    基金的财产</w:t>
      </w:r>
      <w:bookmarkEnd w:id="191"/>
      <w:bookmarkEnd w:id="192"/>
    </w:p>
    <w:p w14:paraId="0568777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93" w:name="OLE_LINK8"/>
      <w:r w:rsidRPr="006F4D70">
        <w:rPr>
          <w:rFonts w:asciiTheme="minorEastAsia" w:eastAsiaTheme="minorEastAsia" w:hAnsiTheme="minorEastAsia" w:cs="宋体" w:hint="eastAsia"/>
          <w:b/>
          <w:bCs/>
          <w:kern w:val="0"/>
          <w:szCs w:val="24"/>
        </w:rPr>
        <w:t>一、基金资产总值</w:t>
      </w:r>
    </w:p>
    <w:p w14:paraId="13BC1A1A" w14:textId="5770B9B2"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基金资产总值是指基金拥有的各类有价证券及票据价值、银行存款本息、基金应收款</w:t>
      </w:r>
      <w:r w:rsidR="00E744B4">
        <w:rPr>
          <w:rFonts w:asciiTheme="minorEastAsia" w:eastAsiaTheme="minorEastAsia" w:hAnsiTheme="minorEastAsia" w:cs="宋体" w:hint="eastAsia"/>
          <w:kern w:val="0"/>
          <w:szCs w:val="24"/>
        </w:rPr>
        <w:t>项</w:t>
      </w:r>
      <w:r w:rsidRPr="006F4D70">
        <w:rPr>
          <w:rFonts w:asciiTheme="minorEastAsia" w:eastAsiaTheme="minorEastAsia" w:hAnsiTheme="minorEastAsia" w:cs="宋体" w:hint="eastAsia"/>
          <w:kern w:val="0"/>
          <w:szCs w:val="24"/>
        </w:rPr>
        <w:t>及其他资产的价值总和。</w:t>
      </w:r>
    </w:p>
    <w:p w14:paraId="32421350"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二、基金资产净值</w:t>
      </w:r>
    </w:p>
    <w:p w14:paraId="2BEBC2E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基金资产净值是指基金资产总值减去基金负债后的价值。</w:t>
      </w:r>
    </w:p>
    <w:p w14:paraId="0EA1AFE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三、基金财产的账户</w:t>
      </w:r>
    </w:p>
    <w:p w14:paraId="6BE6E8E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194" w:name="_Hlt88841837"/>
      <w:bookmarkEnd w:id="194"/>
    </w:p>
    <w:p w14:paraId="148266B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四、基金财产的保管和处分</w:t>
      </w:r>
      <w:bookmarkStart w:id="195" w:name="_Hlt88900062"/>
      <w:bookmarkEnd w:id="195"/>
    </w:p>
    <w:p w14:paraId="69AAA71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2D8CA76" w14:textId="77777777" w:rsidR="00595296" w:rsidRPr="006F4D70" w:rsidRDefault="002B7F4D">
      <w:pPr>
        <w:autoSpaceDE w:val="0"/>
        <w:autoSpaceDN w:val="0"/>
        <w:adjustRightInd w:val="0"/>
        <w:ind w:firstLine="480"/>
        <w:rPr>
          <w:rFonts w:asciiTheme="minorEastAsia" w:eastAsiaTheme="minorEastAsia" w:hAnsiTheme="minorEastAsia" w:cs="宋体"/>
          <w:b/>
          <w:bCs/>
          <w:kern w:val="0"/>
          <w:sz w:val="30"/>
          <w:szCs w:val="30"/>
        </w:rPr>
      </w:pPr>
      <w:r w:rsidRPr="006F4D70">
        <w:rPr>
          <w:rFonts w:asciiTheme="minorEastAsia" w:eastAsiaTheme="minorEastAsia" w:hAnsiTheme="minorEastAsia" w:cs="宋体" w:hint="eastAsia"/>
          <w:kern w:val="0"/>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bookmarkEnd w:id="193"/>
    <w:p w14:paraId="61DBF80B" w14:textId="77777777" w:rsidR="00595296" w:rsidRPr="006F4D70" w:rsidRDefault="002B7F4D">
      <w:pPr>
        <w:widowControl/>
        <w:ind w:firstLine="602"/>
        <w:jc w:val="left"/>
        <w:rPr>
          <w:rFonts w:asciiTheme="minorEastAsia" w:eastAsiaTheme="minorEastAsia" w:hAnsiTheme="minorEastAsia" w:cs="宋体"/>
          <w:b/>
          <w:bCs/>
          <w:kern w:val="0"/>
          <w:sz w:val="30"/>
          <w:szCs w:val="30"/>
        </w:rPr>
      </w:pPr>
      <w:r w:rsidRPr="006F4D70">
        <w:rPr>
          <w:rFonts w:asciiTheme="minorEastAsia" w:eastAsiaTheme="minorEastAsia" w:hAnsiTheme="minorEastAsia" w:cs="宋体"/>
          <w:b/>
          <w:bCs/>
          <w:kern w:val="0"/>
          <w:sz w:val="30"/>
          <w:szCs w:val="30"/>
        </w:rPr>
        <w:br w:type="page"/>
      </w:r>
    </w:p>
    <w:p w14:paraId="4EC79C68" w14:textId="71EAB783" w:rsidR="00595296" w:rsidRPr="006F4D70" w:rsidRDefault="002B7F4D">
      <w:pPr>
        <w:pStyle w:val="1"/>
        <w:ind w:firstLine="602"/>
        <w:rPr>
          <w:rFonts w:asciiTheme="minorEastAsia" w:eastAsiaTheme="minorEastAsia" w:hAnsiTheme="minorEastAsia"/>
          <w:kern w:val="0"/>
        </w:rPr>
      </w:pPr>
      <w:bookmarkStart w:id="196" w:name="_Toc377998629"/>
      <w:bookmarkStart w:id="197" w:name="_Toc198902626"/>
      <w:r w:rsidRPr="006F4D70">
        <w:rPr>
          <w:rFonts w:asciiTheme="minorEastAsia" w:eastAsiaTheme="minorEastAsia" w:hAnsiTheme="minorEastAsia" w:hint="eastAsia"/>
          <w:kern w:val="0"/>
        </w:rPr>
        <w:lastRenderedPageBreak/>
        <w:t>第十四部分    基金资产估值</w:t>
      </w:r>
      <w:bookmarkEnd w:id="196"/>
      <w:bookmarkEnd w:id="197"/>
    </w:p>
    <w:p w14:paraId="5AC8168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198" w:name="_Toc139991745"/>
      <w:bookmarkStart w:id="199" w:name="_Toc141703895"/>
      <w:bookmarkStart w:id="200" w:name="_Toc32046"/>
      <w:bookmarkStart w:id="201" w:name="OLE_LINK9"/>
      <w:r w:rsidRPr="006F4D70">
        <w:rPr>
          <w:rFonts w:asciiTheme="minorEastAsia" w:eastAsiaTheme="minorEastAsia" w:hAnsiTheme="minorEastAsia" w:cs="宋体" w:hint="eastAsia"/>
          <w:b/>
          <w:bCs/>
          <w:kern w:val="0"/>
          <w:szCs w:val="24"/>
        </w:rPr>
        <w:t>一、估值日</w:t>
      </w:r>
    </w:p>
    <w:p w14:paraId="4914FD3A" w14:textId="461CE644"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本基金的估值日为本基金相关的证券</w:t>
      </w:r>
      <w:r w:rsidR="0071718D">
        <w:rPr>
          <w:rFonts w:asciiTheme="minorEastAsia" w:eastAsiaTheme="minorEastAsia" w:hAnsiTheme="minorEastAsia" w:cs="宋体" w:hint="eastAsia"/>
          <w:kern w:val="0"/>
          <w:szCs w:val="24"/>
        </w:rPr>
        <w:t>、期货</w:t>
      </w:r>
      <w:r w:rsidRPr="006F4D70">
        <w:rPr>
          <w:rFonts w:asciiTheme="minorEastAsia" w:eastAsiaTheme="minorEastAsia" w:hAnsiTheme="minorEastAsia" w:cs="宋体" w:hint="eastAsia"/>
          <w:kern w:val="0"/>
          <w:szCs w:val="24"/>
        </w:rPr>
        <w:t>交易场所的交易日以及国家法律法规规定需要对外披露基金净值的非交易日。</w:t>
      </w:r>
    </w:p>
    <w:p w14:paraId="45437F2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二、估值对象</w:t>
      </w:r>
    </w:p>
    <w:p w14:paraId="4971AFEB" w14:textId="016C835D"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基金所拥有的股票、</w:t>
      </w:r>
      <w:r w:rsidR="00351CE0">
        <w:rPr>
          <w:rFonts w:asciiTheme="minorEastAsia" w:eastAsiaTheme="minorEastAsia" w:hAnsiTheme="minorEastAsia" w:cs="宋体" w:hint="eastAsia"/>
          <w:kern w:val="0"/>
          <w:szCs w:val="24"/>
        </w:rPr>
        <w:t>存托凭证、</w:t>
      </w:r>
      <w:r w:rsidRPr="006F4D70">
        <w:rPr>
          <w:rFonts w:asciiTheme="minorEastAsia" w:eastAsiaTheme="minorEastAsia" w:hAnsiTheme="minorEastAsia" w:cs="宋体" w:hint="eastAsia"/>
          <w:kern w:val="0"/>
          <w:szCs w:val="24"/>
        </w:rPr>
        <w:t>债券、资产支持证券、股票期权合约、股指期货合约、国债期货合约、信用衍生品和银行存款本息、应收款项、其它投资等资产及负债。</w:t>
      </w:r>
    </w:p>
    <w:p w14:paraId="29769F6B" w14:textId="77777777" w:rsidR="00595296" w:rsidRPr="006F4D70" w:rsidRDefault="002B7F4D">
      <w:pPr>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三、估值原则</w:t>
      </w:r>
    </w:p>
    <w:p w14:paraId="46CE8591"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基金管理人在确定相关金融资产和金融负债的公允价值时，应符合《企业会计准则》、监管部门有关规定。</w:t>
      </w:r>
    </w:p>
    <w:p w14:paraId="7BE6E044"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33693AD"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FCC412B"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9ECE8F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（三）如经济环境发生重大变化或证券发行人发生影响证券价格的重大事件，使潜在估值调整对前一估值日的基金资产净值的影响在0.25%以上的，应对估值</w:t>
      </w:r>
      <w:r w:rsidRPr="006F4D70">
        <w:rPr>
          <w:rFonts w:asciiTheme="minorEastAsia" w:eastAsiaTheme="minorEastAsia" w:hAnsiTheme="minorEastAsia" w:cs="宋体" w:hint="eastAsia"/>
          <w:kern w:val="0"/>
          <w:szCs w:val="24"/>
        </w:rPr>
        <w:lastRenderedPageBreak/>
        <w:t>进行调整并确定公允价值。</w:t>
      </w:r>
    </w:p>
    <w:p w14:paraId="30B2E7A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202" w:name="_Hlk131362724"/>
      <w:r w:rsidRPr="006F4D70">
        <w:rPr>
          <w:rFonts w:asciiTheme="minorEastAsia" w:eastAsiaTheme="minorEastAsia" w:hAnsiTheme="minorEastAsia" w:cs="宋体" w:hint="eastAsia"/>
          <w:b/>
          <w:bCs/>
          <w:kern w:val="0"/>
          <w:szCs w:val="24"/>
        </w:rPr>
        <w:t>四、估值方法</w:t>
      </w:r>
    </w:p>
    <w:p w14:paraId="5A6D14C1" w14:textId="1A90D5E1" w:rsidR="00595296" w:rsidRPr="00C113F4"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w:t>
      </w:r>
      <w:r w:rsidR="00F7247F" w:rsidRPr="00C113F4">
        <w:rPr>
          <w:bCs/>
        </w:rPr>
        <w:t>证券交易所上市的有价证券的估值</w:t>
      </w:r>
    </w:p>
    <w:p w14:paraId="25C22753" w14:textId="77777777" w:rsidR="00595296" w:rsidRPr="00C113F4" w:rsidRDefault="002B7F4D">
      <w:pPr>
        <w:autoSpaceDE w:val="0"/>
        <w:autoSpaceDN w:val="0"/>
        <w:adjustRightInd w:val="0"/>
        <w:ind w:firstLine="480"/>
        <w:rPr>
          <w:rFonts w:asciiTheme="minorEastAsia" w:eastAsiaTheme="minorEastAsia" w:hAnsiTheme="minorEastAsia" w:cs="宋体"/>
          <w:kern w:val="0"/>
          <w:szCs w:val="24"/>
        </w:rPr>
      </w:pPr>
      <w:r w:rsidRPr="00C113F4">
        <w:rPr>
          <w:rFonts w:asciiTheme="minorEastAsia" w:eastAsiaTheme="minorEastAsia" w:hAnsiTheme="minorEastAsia" w:cs="宋体" w:hint="eastAsia"/>
          <w:kern w:val="0"/>
          <w:szCs w:val="24"/>
        </w:rPr>
        <w:t>（</w:t>
      </w:r>
      <w:r w:rsidRPr="00C113F4">
        <w:rPr>
          <w:rFonts w:asciiTheme="minorEastAsia" w:eastAsiaTheme="minorEastAsia" w:hAnsiTheme="minorEastAsia" w:cs="宋体"/>
          <w:kern w:val="0"/>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了影响证券价格的重大事件的，可参考类似投资品种的现行市价及重大变化因素，调整最近交易市价，确定公允价格；</w:t>
      </w:r>
    </w:p>
    <w:p w14:paraId="246B749E" w14:textId="4169E803" w:rsidR="00595296" w:rsidRPr="00C113F4" w:rsidRDefault="002B7F4D">
      <w:pPr>
        <w:autoSpaceDE w:val="0"/>
        <w:autoSpaceDN w:val="0"/>
        <w:adjustRightInd w:val="0"/>
        <w:ind w:firstLine="480"/>
        <w:rPr>
          <w:rFonts w:asciiTheme="minorEastAsia" w:eastAsiaTheme="minorEastAsia" w:hAnsiTheme="minorEastAsia" w:cs="宋体"/>
          <w:kern w:val="0"/>
          <w:szCs w:val="24"/>
        </w:rPr>
      </w:pPr>
      <w:r w:rsidRPr="00C113F4">
        <w:rPr>
          <w:rFonts w:asciiTheme="minorEastAsia" w:eastAsiaTheme="minorEastAsia" w:hAnsiTheme="minorEastAsia" w:cs="宋体" w:hint="eastAsia"/>
          <w:kern w:val="0"/>
          <w:szCs w:val="24"/>
        </w:rPr>
        <w:t>（</w:t>
      </w:r>
      <w:r w:rsidRPr="00C113F4">
        <w:rPr>
          <w:rFonts w:asciiTheme="minorEastAsia" w:eastAsiaTheme="minorEastAsia" w:hAnsiTheme="minorEastAsia" w:cs="宋体"/>
          <w:kern w:val="0"/>
          <w:szCs w:val="24"/>
        </w:rPr>
        <w:t>2）</w:t>
      </w:r>
      <w:r w:rsidR="00810FC7" w:rsidRPr="00C113F4">
        <w:rPr>
          <w:rFonts w:asciiTheme="minorEastAsia" w:eastAsiaTheme="minorEastAsia" w:hAnsiTheme="minorEastAsia" w:cs="宋体" w:hint="eastAsia"/>
          <w:kern w:val="0"/>
          <w:szCs w:val="24"/>
        </w:rPr>
        <w:t>交易所</w:t>
      </w:r>
      <w:r w:rsidRPr="00C113F4">
        <w:rPr>
          <w:rFonts w:asciiTheme="minorEastAsia" w:eastAsiaTheme="minorEastAsia" w:hAnsiTheme="minorEastAsia" w:cs="宋体"/>
          <w:kern w:val="0"/>
          <w:szCs w:val="24"/>
        </w:rPr>
        <w:t>上市交易或挂牌转让的不含权固定收益品种，选取估值日第三方估值基准服务机构提供的相应品种当日的估值全价进行估值；</w:t>
      </w:r>
    </w:p>
    <w:p w14:paraId="4965A697" w14:textId="16F69BAD" w:rsidR="00595296" w:rsidRPr="00C113F4" w:rsidRDefault="002B7F4D">
      <w:pPr>
        <w:autoSpaceDE w:val="0"/>
        <w:autoSpaceDN w:val="0"/>
        <w:adjustRightInd w:val="0"/>
        <w:ind w:firstLine="480"/>
        <w:rPr>
          <w:rFonts w:asciiTheme="minorEastAsia" w:eastAsiaTheme="minorEastAsia" w:hAnsiTheme="minorEastAsia" w:cs="宋体"/>
          <w:kern w:val="0"/>
          <w:szCs w:val="24"/>
        </w:rPr>
      </w:pPr>
      <w:r w:rsidRPr="00C113F4">
        <w:rPr>
          <w:rFonts w:asciiTheme="minorEastAsia" w:eastAsiaTheme="minorEastAsia" w:hAnsiTheme="minorEastAsia" w:cs="宋体" w:hint="eastAsia"/>
          <w:kern w:val="0"/>
          <w:szCs w:val="24"/>
        </w:rPr>
        <w:t>（</w:t>
      </w:r>
      <w:r w:rsidRPr="00C113F4">
        <w:rPr>
          <w:rFonts w:asciiTheme="minorEastAsia" w:eastAsiaTheme="minorEastAsia" w:hAnsiTheme="minorEastAsia" w:cs="宋体"/>
          <w:kern w:val="0"/>
          <w:szCs w:val="24"/>
        </w:rPr>
        <w:t>3）</w:t>
      </w:r>
      <w:r w:rsidR="00810FC7" w:rsidRPr="00C113F4">
        <w:rPr>
          <w:rFonts w:asciiTheme="minorEastAsia" w:eastAsiaTheme="minorEastAsia" w:hAnsiTheme="minorEastAsia" w:cs="宋体" w:hint="eastAsia"/>
          <w:kern w:val="0"/>
          <w:szCs w:val="24"/>
        </w:rPr>
        <w:t>交易所</w:t>
      </w:r>
      <w:r w:rsidRPr="00C113F4">
        <w:rPr>
          <w:rFonts w:asciiTheme="minorEastAsia" w:eastAsiaTheme="minorEastAsia" w:hAnsiTheme="minorEastAsia" w:cs="宋体"/>
          <w:kern w:val="0"/>
          <w:szCs w:val="24"/>
        </w:rPr>
        <w:t>上市交易或挂牌转让的含权固定收益品种，选取估值日第三方估值基准服务机构提供的相应品种当日的唯一估值全价或推荐估值全价进行估值；</w:t>
      </w:r>
    </w:p>
    <w:p w14:paraId="5BB4DCD9" w14:textId="77777777" w:rsidR="00595296" w:rsidRPr="00C113F4" w:rsidRDefault="002B7F4D">
      <w:pPr>
        <w:autoSpaceDE w:val="0"/>
        <w:autoSpaceDN w:val="0"/>
        <w:adjustRightInd w:val="0"/>
        <w:ind w:firstLine="480"/>
        <w:rPr>
          <w:rFonts w:asciiTheme="minorEastAsia" w:eastAsiaTheme="minorEastAsia" w:hAnsiTheme="minorEastAsia" w:cs="宋体"/>
          <w:kern w:val="0"/>
          <w:szCs w:val="24"/>
        </w:rPr>
      </w:pPr>
      <w:r w:rsidRPr="00C113F4">
        <w:rPr>
          <w:rFonts w:asciiTheme="minorEastAsia" w:eastAsiaTheme="minorEastAsia" w:hAnsiTheme="minorEastAsia" w:cs="宋体" w:hint="eastAsia"/>
          <w:kern w:val="0"/>
          <w:szCs w:val="24"/>
        </w:rPr>
        <w:t>（</w:t>
      </w:r>
      <w:r w:rsidRPr="00C113F4">
        <w:rPr>
          <w:rFonts w:asciiTheme="minorEastAsia" w:eastAsiaTheme="minorEastAsia" w:hAnsiTheme="minorEastAsia" w:cs="宋体"/>
          <w:kern w:val="0"/>
          <w:szCs w:val="24"/>
        </w:rPr>
        <w:t>4）对于交易所上市交易的公开发行的可转债等有活跃市场的含转股权的债券，实行全价交易的债券以估值日收盘价作为估值全价；实行净价交易的债券以估值日收盘价并加计每百元税前应计利息作为估值全价；</w:t>
      </w:r>
    </w:p>
    <w:p w14:paraId="4489638C" w14:textId="71B66BE6" w:rsidR="00595296" w:rsidRPr="00C113F4" w:rsidRDefault="002B7F4D">
      <w:pPr>
        <w:autoSpaceDE w:val="0"/>
        <w:autoSpaceDN w:val="0"/>
        <w:adjustRightInd w:val="0"/>
        <w:ind w:firstLine="480"/>
        <w:rPr>
          <w:rFonts w:asciiTheme="minorEastAsia" w:eastAsiaTheme="minorEastAsia" w:hAnsiTheme="minorEastAsia" w:cs="宋体"/>
          <w:kern w:val="0"/>
          <w:szCs w:val="24"/>
        </w:rPr>
      </w:pPr>
      <w:r w:rsidRPr="00C113F4">
        <w:rPr>
          <w:rFonts w:asciiTheme="minorEastAsia" w:eastAsiaTheme="minorEastAsia" w:hAnsiTheme="minorEastAsia" w:cs="宋体" w:hint="eastAsia"/>
          <w:kern w:val="0"/>
          <w:szCs w:val="24"/>
        </w:rPr>
        <w:t>（</w:t>
      </w:r>
      <w:r w:rsidRPr="00C113F4">
        <w:rPr>
          <w:rFonts w:asciiTheme="minorEastAsia" w:eastAsiaTheme="minorEastAsia" w:hAnsiTheme="minorEastAsia" w:cs="宋体"/>
          <w:kern w:val="0"/>
          <w:szCs w:val="24"/>
        </w:rPr>
        <w:t>5）</w:t>
      </w:r>
      <w:r w:rsidR="00810FC7" w:rsidRPr="00C113F4">
        <w:rPr>
          <w:rFonts w:asciiTheme="minorEastAsia" w:eastAsiaTheme="minorEastAsia" w:hAnsiTheme="minorEastAsia" w:cs="宋体" w:hint="eastAsia"/>
          <w:kern w:val="0"/>
          <w:szCs w:val="24"/>
        </w:rPr>
        <w:t>交易所</w:t>
      </w:r>
      <w:r w:rsidRPr="00C113F4">
        <w:rPr>
          <w:rFonts w:asciiTheme="minorEastAsia" w:eastAsiaTheme="minorEastAsia" w:hAnsiTheme="minorEastAsia" w:cs="宋体"/>
          <w:kern w:val="0"/>
          <w:szCs w:val="24"/>
        </w:rPr>
        <w:t>含投资人回售权的固定收益品种，行使回售权的，在回售登记日至实际收款日期间以第三方估值基准服务机构提供的相应品种当日的唯一估值全价或推荐估值全价进行估值。回售登记期截止日（含当日）后未行使回售权的按照长待偿期所对应的价格进行估值</w:t>
      </w:r>
      <w:r w:rsidRPr="00C113F4">
        <w:rPr>
          <w:rFonts w:asciiTheme="minorEastAsia" w:eastAsiaTheme="minorEastAsia" w:hAnsiTheme="minorEastAsia" w:cs="宋体" w:hint="eastAsia"/>
          <w:kern w:val="0"/>
          <w:szCs w:val="24"/>
        </w:rPr>
        <w:t>；</w:t>
      </w:r>
    </w:p>
    <w:p w14:paraId="65BCCF38" w14:textId="7E56467E" w:rsidR="00595296" w:rsidRPr="006F4D70" w:rsidRDefault="002B7F4D">
      <w:pPr>
        <w:widowControl/>
        <w:shd w:val="clear" w:color="auto" w:fill="FFFFFF"/>
        <w:tabs>
          <w:tab w:val="left" w:pos="426"/>
          <w:tab w:val="left" w:pos="993"/>
          <w:tab w:val="left" w:pos="1134"/>
        </w:tabs>
        <w:ind w:firstLine="480"/>
        <w:rPr>
          <w:rFonts w:asciiTheme="minorEastAsia" w:eastAsiaTheme="minorEastAsia" w:hAnsiTheme="minorEastAsia" w:cs="宋体"/>
          <w:kern w:val="0"/>
          <w:szCs w:val="24"/>
        </w:rPr>
      </w:pPr>
      <w:r w:rsidRPr="00C113F4">
        <w:rPr>
          <w:rFonts w:asciiTheme="minorEastAsia" w:eastAsiaTheme="minorEastAsia" w:hAnsiTheme="minorEastAsia" w:cs="宋体" w:hint="eastAsia"/>
          <w:kern w:val="0"/>
          <w:szCs w:val="24"/>
        </w:rPr>
        <w:t>（</w:t>
      </w:r>
      <w:r w:rsidRPr="00C113F4">
        <w:rPr>
          <w:rFonts w:asciiTheme="minorEastAsia" w:eastAsiaTheme="minorEastAsia" w:hAnsiTheme="minorEastAsia" w:cs="宋体"/>
          <w:kern w:val="0"/>
          <w:szCs w:val="24"/>
        </w:rPr>
        <w:t>6）</w:t>
      </w:r>
      <w:r w:rsidR="00696C7A" w:rsidRPr="00C113F4">
        <w:rPr>
          <w:rFonts w:asciiTheme="minorEastAsia" w:eastAsiaTheme="minorEastAsia" w:hAnsiTheme="minorEastAsia" w:cs="宋体" w:hint="eastAsia"/>
          <w:kern w:val="0"/>
          <w:szCs w:val="24"/>
        </w:rPr>
        <w:t>未</w:t>
      </w:r>
      <w:r w:rsidRPr="00C113F4">
        <w:rPr>
          <w:rFonts w:asciiTheme="minorEastAsia" w:eastAsiaTheme="minorEastAsia" w:hAnsiTheme="minorEastAsia" w:cs="宋体"/>
          <w:kern w:val="0"/>
          <w:szCs w:val="24"/>
        </w:rPr>
        <w:t>上市或</w:t>
      </w:r>
      <w:r w:rsidR="00A854DF" w:rsidRPr="00C113F4">
        <w:rPr>
          <w:rFonts w:asciiTheme="minorEastAsia" w:eastAsiaTheme="minorEastAsia" w:hAnsiTheme="minorEastAsia" w:cs="宋体"/>
          <w:kern w:val="0"/>
          <w:szCs w:val="24"/>
        </w:rPr>
        <w:t>未</w:t>
      </w:r>
      <w:r w:rsidRPr="00C113F4">
        <w:rPr>
          <w:rFonts w:asciiTheme="minorEastAsia" w:eastAsiaTheme="minorEastAsia" w:hAnsiTheme="minorEastAsia" w:cs="宋体"/>
          <w:kern w:val="0"/>
          <w:szCs w:val="24"/>
        </w:rPr>
        <w:t>挂牌转让且不存在活跃市场的有价证券，采用估值技术确定公允价值。</w:t>
      </w:r>
    </w:p>
    <w:p w14:paraId="17667DA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、处于未上市或未挂牌转让期间的有价证券应区分如下情况处理：</w:t>
      </w:r>
    </w:p>
    <w:p w14:paraId="51EE144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1）送股、转增股、配股和公开增发的新股，按估值日在证券交易所挂牌的同一股票的估值方法估值；该日无交易的，以最近一日的市价（收盘价）估值；</w:t>
      </w:r>
    </w:p>
    <w:p w14:paraId="358CC7A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2）首次公开发行未上市的股票，采用估值技术确定公允价值；</w:t>
      </w:r>
    </w:p>
    <w:p w14:paraId="74D32B2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3）在发行时明确一定期限限售期的股票，包括但不限于非公开发行股票、首次公开发行股票时公司股东公开发售股份、通过大宗交易取得的带限售期的股</w:t>
      </w:r>
      <w:r w:rsidRPr="006F4D70">
        <w:rPr>
          <w:rFonts w:asciiTheme="minorEastAsia" w:eastAsiaTheme="minorEastAsia" w:hAnsiTheme="minorEastAsia" w:cs="宋体"/>
          <w:kern w:val="0"/>
          <w:szCs w:val="24"/>
        </w:rPr>
        <w:lastRenderedPageBreak/>
        <w:t>票等，不包括停牌、新发行未上市、回购交易中的质押券等流通受限股票，按监管机构或行业协会有关规定确定公允价值；</w:t>
      </w:r>
    </w:p>
    <w:p w14:paraId="642C4652" w14:textId="6C6A350A" w:rsidR="00595296" w:rsidRPr="00696C7A" w:rsidRDefault="00696C7A">
      <w:pPr>
        <w:autoSpaceDE w:val="0"/>
        <w:autoSpaceDN w:val="0"/>
        <w:adjustRightInd w:val="0"/>
        <w:ind w:firstLine="480"/>
        <w:rPr>
          <w:rFonts w:asciiTheme="minorEastAsia" w:eastAsiaTheme="minorEastAsia" w:hAnsiTheme="minorEastAsia" w:cs="宋体"/>
          <w:kern w:val="0"/>
          <w:szCs w:val="24"/>
        </w:rPr>
      </w:pPr>
      <w:r>
        <w:rPr>
          <w:rFonts w:hint="eastAsia"/>
        </w:rPr>
        <w:t>3</w:t>
      </w:r>
      <w:r>
        <w:rPr>
          <w:rFonts w:hint="eastAsia"/>
        </w:rPr>
        <w:t>、</w:t>
      </w:r>
      <w:r>
        <w:rPr>
          <w:rFonts w:ascii="宋体" w:hAnsi="宋体" w:cs="宋体"/>
          <w:kern w:val="0"/>
          <w:szCs w:val="24"/>
          <w:lang w:bidi="ar"/>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银行间市场上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41ACBF59" w14:textId="50BEA482" w:rsidR="00595296" w:rsidRPr="006F4D70" w:rsidRDefault="00696C7A" w:rsidP="00C113F4">
      <w:pPr>
        <w:autoSpaceDE w:val="0"/>
        <w:autoSpaceDN w:val="0"/>
        <w:adjustRightInd w:val="0"/>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4</w:t>
      </w:r>
      <w:r w:rsidR="002B7F4D" w:rsidRPr="006F4D70">
        <w:rPr>
          <w:rFonts w:asciiTheme="minorEastAsia" w:eastAsiaTheme="minorEastAsia" w:hAnsiTheme="minorEastAsia" w:cs="宋体"/>
          <w:kern w:val="0"/>
          <w:szCs w:val="24"/>
        </w:rPr>
        <w:t>、同一证券同时在两个或两个以上市场交易的，按证券所处的市场分别估值</w:t>
      </w:r>
      <w:r w:rsidR="002B7F4D" w:rsidRPr="006F4D70">
        <w:rPr>
          <w:rFonts w:asciiTheme="minorEastAsia" w:eastAsiaTheme="minorEastAsia" w:hAnsiTheme="minorEastAsia" w:cs="宋体" w:hint="eastAsia"/>
          <w:kern w:val="0"/>
          <w:szCs w:val="24"/>
        </w:rPr>
        <w:t>。</w:t>
      </w:r>
    </w:p>
    <w:p w14:paraId="1B358264" w14:textId="418B55BB" w:rsidR="00595296" w:rsidRPr="006F4D70" w:rsidRDefault="00696C7A">
      <w:pPr>
        <w:tabs>
          <w:tab w:val="left" w:pos="993"/>
        </w:tabs>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5</w:t>
      </w:r>
      <w:r w:rsidR="002B7F4D" w:rsidRPr="006F4D70">
        <w:rPr>
          <w:rFonts w:asciiTheme="minorEastAsia" w:eastAsiaTheme="minorEastAsia" w:hAnsiTheme="minorEastAsia" w:cs="宋体" w:hint="eastAsia"/>
          <w:kern w:val="0"/>
          <w:szCs w:val="24"/>
        </w:rPr>
        <w:t>、投资证券衍生品的估值方法</w:t>
      </w:r>
    </w:p>
    <w:p w14:paraId="6ED7ED9F" w14:textId="1964B430" w:rsidR="00595296" w:rsidRPr="006F4D70" w:rsidRDefault="002B7F4D">
      <w:pPr>
        <w:widowControl/>
        <w:tabs>
          <w:tab w:val="left" w:pos="851"/>
          <w:tab w:val="left" w:pos="993"/>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（1）股指期货合约，一般以估值当日结算价进行估值，估值当日无结算价的， 且最近交易日后经济环境未发生重大变化的，采用最近交易日结算价估值</w:t>
      </w:r>
      <w:r w:rsidR="00301A57">
        <w:rPr>
          <w:rFonts w:asciiTheme="minorEastAsia" w:eastAsiaTheme="minorEastAsia" w:hAnsiTheme="minorEastAsia" w:cs="宋体" w:hint="eastAsia"/>
          <w:kern w:val="0"/>
          <w:szCs w:val="24"/>
        </w:rPr>
        <w:t>；</w:t>
      </w:r>
    </w:p>
    <w:p w14:paraId="6CC3EEE9" w14:textId="47615354" w:rsidR="00595296" w:rsidRPr="006F4D70" w:rsidRDefault="002B7F4D">
      <w:pPr>
        <w:tabs>
          <w:tab w:val="left" w:pos="567"/>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（2）国债期货合约，一般以估值当日结算价进行估值，估值当日无结算价的，且最近交易日后经济环境未发生重大变化的，采用最近交易日结算价估值</w:t>
      </w:r>
      <w:r w:rsidR="00301A57">
        <w:rPr>
          <w:rFonts w:asciiTheme="minorEastAsia" w:eastAsiaTheme="minorEastAsia" w:hAnsiTheme="minorEastAsia" w:cs="宋体" w:hint="eastAsia"/>
          <w:kern w:val="0"/>
          <w:szCs w:val="24"/>
        </w:rPr>
        <w:t>；</w:t>
      </w:r>
    </w:p>
    <w:p w14:paraId="33B14E1E" w14:textId="0CDD0D68" w:rsidR="00595296" w:rsidRPr="006F4D70" w:rsidRDefault="002B7F4D">
      <w:pPr>
        <w:tabs>
          <w:tab w:val="left" w:pos="567"/>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（3）股票期权合约，</w:t>
      </w:r>
      <w:r w:rsidR="0005790D" w:rsidRPr="0005790D">
        <w:rPr>
          <w:rFonts w:asciiTheme="minorEastAsia" w:eastAsiaTheme="minorEastAsia" w:hAnsiTheme="minorEastAsia" w:cs="宋体" w:hint="eastAsia"/>
          <w:kern w:val="0"/>
          <w:szCs w:val="24"/>
        </w:rPr>
        <w:t>根据相关法律法规以及监管部门的规定估值</w:t>
      </w:r>
      <w:r w:rsidR="00301A57">
        <w:rPr>
          <w:rFonts w:asciiTheme="minorEastAsia" w:eastAsiaTheme="minorEastAsia" w:hAnsiTheme="minorEastAsia" w:cs="宋体" w:hint="eastAsia"/>
          <w:kern w:val="0"/>
          <w:szCs w:val="24"/>
        </w:rPr>
        <w:t>；</w:t>
      </w:r>
    </w:p>
    <w:p w14:paraId="340E96E9" w14:textId="77777777" w:rsidR="00595296" w:rsidRPr="006F4D70" w:rsidRDefault="002B7F4D">
      <w:pPr>
        <w:tabs>
          <w:tab w:val="left" w:pos="567"/>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19862B6" w14:textId="1758045C" w:rsidR="00696C7A" w:rsidRDefault="00696C7A">
      <w:pPr>
        <w:tabs>
          <w:tab w:val="left" w:pos="993"/>
        </w:tabs>
        <w:ind w:firstLine="480"/>
        <w:rPr>
          <w:rFonts w:ascii="宋体" w:hAnsi="宋体" w:cs="宋体"/>
          <w:kern w:val="0"/>
          <w:szCs w:val="24"/>
          <w:lang w:bidi="ar"/>
        </w:rPr>
      </w:pPr>
      <w:r>
        <w:rPr>
          <w:rFonts w:ascii="宋体" w:hAnsi="宋体" w:cs="宋体"/>
          <w:kern w:val="0"/>
          <w:szCs w:val="24"/>
          <w:lang w:bidi="ar"/>
        </w:rPr>
        <w:t>6、对于发行人已破产、发行人未能按时足额偿付本金或利息，或者有其它可靠信息表明本金或利息无法按时足额偿付的债券投资品种，第三方估值基准服 务机构可在提供推荐价格的同时提供价格区间作为公允价值的参考范围</w:t>
      </w:r>
      <w:r w:rsidR="00A854DF">
        <w:rPr>
          <w:rFonts w:ascii="宋体" w:hAnsi="宋体" w:cs="宋体"/>
          <w:kern w:val="0"/>
          <w:szCs w:val="24"/>
          <w:lang w:bidi="ar"/>
        </w:rPr>
        <w:t>。</w:t>
      </w:r>
      <w:r>
        <w:rPr>
          <w:rFonts w:ascii="宋体" w:hAnsi="宋体" w:cs="宋体"/>
          <w:kern w:val="0"/>
          <w:szCs w:val="24"/>
          <w:lang w:bidi="ar"/>
        </w:rPr>
        <w:t>基金管理人在与基金托管人协商一致后，可采用价格区间中的数据作为该债券投资品种的公允价值。</w:t>
      </w:r>
    </w:p>
    <w:p w14:paraId="2EC04376" w14:textId="2C8AA1A2" w:rsidR="00595296" w:rsidRPr="006F4D70" w:rsidRDefault="00696C7A">
      <w:pPr>
        <w:tabs>
          <w:tab w:val="left" w:pos="993"/>
        </w:tabs>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7</w:t>
      </w:r>
      <w:r w:rsidR="002B7F4D" w:rsidRPr="006F4D70">
        <w:rPr>
          <w:rFonts w:asciiTheme="minorEastAsia" w:eastAsiaTheme="minorEastAsia" w:hAnsiTheme="minorEastAsia" w:cs="宋体" w:hint="eastAsia"/>
          <w:kern w:val="0"/>
          <w:szCs w:val="24"/>
        </w:rPr>
        <w:t>、存款的估值方法</w:t>
      </w:r>
    </w:p>
    <w:p w14:paraId="20E8BF0A" w14:textId="5D679C91" w:rsidR="00595296" w:rsidRPr="006F4D70" w:rsidRDefault="002B7F4D">
      <w:pPr>
        <w:widowControl/>
        <w:tabs>
          <w:tab w:val="left" w:pos="851"/>
          <w:tab w:val="left" w:pos="993"/>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持有的银行定期存款或通知存款以本金列示，按协议或合同利率逐日确认利息收入。</w:t>
      </w:r>
    </w:p>
    <w:p w14:paraId="1BF5ACD0" w14:textId="5189D57C" w:rsidR="00595296" w:rsidRPr="006F4D70" w:rsidRDefault="00696C7A">
      <w:pPr>
        <w:widowControl/>
        <w:tabs>
          <w:tab w:val="left" w:pos="851"/>
          <w:tab w:val="left" w:pos="993"/>
        </w:tabs>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lastRenderedPageBreak/>
        <w:t>8</w:t>
      </w:r>
      <w:r w:rsidR="002B7F4D" w:rsidRPr="006F4D70">
        <w:rPr>
          <w:rFonts w:asciiTheme="minorEastAsia" w:eastAsiaTheme="minorEastAsia" w:hAnsiTheme="minorEastAsia" w:cs="宋体" w:hint="eastAsia"/>
          <w:kern w:val="0"/>
          <w:szCs w:val="24"/>
        </w:rPr>
        <w:t>、汇率</w:t>
      </w:r>
    </w:p>
    <w:p w14:paraId="3AF37AA9" w14:textId="77777777" w:rsidR="00595296" w:rsidRPr="006F4D70" w:rsidRDefault="002B7F4D">
      <w:pPr>
        <w:widowControl/>
        <w:tabs>
          <w:tab w:val="left" w:pos="851"/>
          <w:tab w:val="left" w:pos="993"/>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本基金外币资产价值计算中，涉及外币对人民币汇率的，应当以基金估值日中国人民银行或其授权机构公布的人民币汇率中间价为准。</w:t>
      </w:r>
    </w:p>
    <w:p w14:paraId="29B569BB" w14:textId="77777777" w:rsidR="00595296" w:rsidRPr="006F4D70" w:rsidRDefault="002B7F4D">
      <w:pPr>
        <w:widowControl/>
        <w:tabs>
          <w:tab w:val="left" w:pos="851"/>
          <w:tab w:val="left" w:pos="993"/>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2FA5F796" w14:textId="55976468" w:rsidR="00595296" w:rsidRPr="006F4D70" w:rsidRDefault="00696C7A">
      <w:pPr>
        <w:widowControl/>
        <w:tabs>
          <w:tab w:val="left" w:pos="851"/>
          <w:tab w:val="left" w:pos="993"/>
        </w:tabs>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9</w:t>
      </w:r>
      <w:r w:rsidR="002B7F4D" w:rsidRPr="006F4D70">
        <w:rPr>
          <w:rFonts w:asciiTheme="minorEastAsia" w:eastAsiaTheme="minorEastAsia" w:hAnsiTheme="minorEastAsia" w:cs="宋体" w:hint="eastAsia"/>
          <w:kern w:val="0"/>
          <w:szCs w:val="24"/>
        </w:rPr>
        <w:t>、本基金参与融资业务的，按照相关法律法规和监管部门的规定估值。</w:t>
      </w:r>
    </w:p>
    <w:p w14:paraId="0D18085E" w14:textId="44679C9F" w:rsidR="00595296" w:rsidRPr="006F4D70" w:rsidRDefault="00696C7A">
      <w:pPr>
        <w:widowControl/>
        <w:tabs>
          <w:tab w:val="left" w:pos="851"/>
          <w:tab w:val="left" w:pos="993"/>
        </w:tabs>
        <w:ind w:firstLine="480"/>
        <w:rPr>
          <w:rFonts w:asciiTheme="minorEastAsia" w:eastAsiaTheme="minorEastAsia" w:hAnsiTheme="minorEastAsia"/>
          <w:bCs/>
        </w:rPr>
      </w:pPr>
      <w:r>
        <w:rPr>
          <w:rFonts w:asciiTheme="minorEastAsia" w:eastAsiaTheme="minorEastAsia" w:hAnsiTheme="minorEastAsia" w:hint="eastAsia"/>
          <w:bCs/>
        </w:rPr>
        <w:t>10</w:t>
      </w:r>
      <w:r w:rsidR="002B7F4D" w:rsidRPr="006F4D70">
        <w:rPr>
          <w:rFonts w:asciiTheme="minorEastAsia" w:eastAsiaTheme="minorEastAsia" w:hAnsiTheme="minorEastAsia" w:hint="eastAsia"/>
          <w:bCs/>
        </w:rPr>
        <w:t>、本基金投资存托凭证的估值核算依照内地上市交易的股票执行。</w:t>
      </w:r>
    </w:p>
    <w:p w14:paraId="6E05AD93" w14:textId="7E265795" w:rsidR="00595296" w:rsidRPr="006F4D70" w:rsidRDefault="00696C7A">
      <w:pPr>
        <w:widowControl/>
        <w:tabs>
          <w:tab w:val="left" w:pos="851"/>
          <w:tab w:val="left" w:pos="993"/>
        </w:tabs>
        <w:ind w:firstLine="48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11</w:t>
      </w:r>
      <w:r w:rsidR="002B7F4D" w:rsidRPr="006F4D70">
        <w:rPr>
          <w:rFonts w:asciiTheme="minorEastAsia" w:eastAsiaTheme="minorEastAsia" w:hAnsiTheme="minorEastAsia" w:cs="宋体" w:hint="eastAsia"/>
          <w:kern w:val="0"/>
          <w:szCs w:val="24"/>
        </w:rPr>
        <w:t>、税收</w:t>
      </w:r>
    </w:p>
    <w:p w14:paraId="6AE0DFC7" w14:textId="77777777" w:rsidR="00595296" w:rsidRPr="006F4D70" w:rsidRDefault="002B7F4D">
      <w:pPr>
        <w:widowControl/>
        <w:tabs>
          <w:tab w:val="left" w:pos="851"/>
          <w:tab w:val="left" w:pos="993"/>
        </w:tabs>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FF5CD67" w14:textId="79071E43" w:rsidR="00595296" w:rsidRPr="006F4D70" w:rsidRDefault="000C3B6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00696C7A">
        <w:rPr>
          <w:rFonts w:asciiTheme="minorEastAsia" w:eastAsiaTheme="minorEastAsia" w:hAnsiTheme="minorEastAsia" w:cs="宋体" w:hint="eastAsia"/>
          <w:kern w:val="0"/>
          <w:szCs w:val="24"/>
        </w:rPr>
        <w:t>2</w:t>
      </w:r>
      <w:r w:rsidR="002B7F4D" w:rsidRPr="006F4D70">
        <w:rPr>
          <w:rFonts w:asciiTheme="minorEastAsia" w:eastAsiaTheme="minorEastAsia" w:hAnsiTheme="minorEastAsia" w:cs="宋体" w:hint="eastAsia"/>
          <w:kern w:val="0"/>
          <w:szCs w:val="24"/>
        </w:rPr>
        <w:t>、如有确凿证据表明按上述方法进行估值不能客观反映其公允价值的，基金管理人可根据具体情况与基金托管人商定后，按最能反映公允价值的价格估值。</w:t>
      </w:r>
    </w:p>
    <w:p w14:paraId="23D5C8DA" w14:textId="6F3F15E3" w:rsidR="00595296" w:rsidRPr="006F4D70" w:rsidRDefault="000C3B6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w:t>
      </w:r>
      <w:r w:rsidR="00696C7A">
        <w:rPr>
          <w:rFonts w:asciiTheme="minorEastAsia" w:eastAsiaTheme="minorEastAsia" w:hAnsiTheme="minorEastAsia" w:cs="宋体" w:hint="eastAsia"/>
          <w:kern w:val="0"/>
          <w:szCs w:val="24"/>
        </w:rPr>
        <w:t>3</w:t>
      </w:r>
      <w:r w:rsidR="002B7F4D" w:rsidRPr="006F4D70">
        <w:rPr>
          <w:rFonts w:asciiTheme="minorEastAsia" w:eastAsiaTheme="minorEastAsia" w:hAnsiTheme="minorEastAsia" w:cs="宋体" w:hint="eastAsia"/>
          <w:kern w:val="0"/>
          <w:szCs w:val="24"/>
        </w:rPr>
        <w:t>、当发生大额申购或赎回情形时，基金管理人可以采用摆动定价机制，以确保基金估值的公平性，并履行相关信息披露义务。</w:t>
      </w:r>
    </w:p>
    <w:p w14:paraId="5B872444" w14:textId="4B903A67" w:rsidR="00595296" w:rsidRPr="006F4D70" w:rsidRDefault="000C3B68">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w:t>
      </w:r>
      <w:r w:rsidR="00696C7A">
        <w:rPr>
          <w:rFonts w:asciiTheme="minorEastAsia" w:eastAsiaTheme="minorEastAsia" w:hAnsiTheme="minorEastAsia" w:cs="宋体" w:hint="eastAsia"/>
          <w:kern w:val="0"/>
          <w:szCs w:val="24"/>
        </w:rPr>
        <w:t>4</w:t>
      </w:r>
      <w:r w:rsidR="002B7F4D" w:rsidRPr="006F4D70">
        <w:rPr>
          <w:rFonts w:asciiTheme="minorEastAsia" w:eastAsiaTheme="minorEastAsia" w:hAnsiTheme="minorEastAsia" w:cs="宋体" w:hint="eastAsia"/>
          <w:kern w:val="0"/>
          <w:szCs w:val="24"/>
        </w:rPr>
        <w:t>、相关法律法规以及监管部门有强制规定的，从其规定。如有新增事项，按国家最新规定估值。</w:t>
      </w:r>
    </w:p>
    <w:p w14:paraId="6A87331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FBF28B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根据有关法律法规，基金管理人计算基金资产净值，基金托管人复核、审查基金管理人计算的基金资产净值。基金资产净值计算、各类基金份额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38A7D0D"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lastRenderedPageBreak/>
        <w:t>五、估值程序</w:t>
      </w:r>
    </w:p>
    <w:p w14:paraId="32EC43E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各类基金份额净值是按照每个估值日闭市后，各类基金份额的基金资产净值除以当日该类基金份额的余额数量计算得出的结果，各类基金份额净值的计算均精确到0.0001元，小数点后第5位四舍五入，由此产生的误差计入基金财产。基金管理人可以设立大额赎回情形下的净值精度应急调整机制。国家另有规定的，从其规定。</w:t>
      </w:r>
    </w:p>
    <w:p w14:paraId="2CF4AE4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基金管理人于每个估值日计算基金资产净值及各类基金份额净值，经基金托管人复核，并按规定公告。如遇特殊情况，经履行适当程序，可以适当延迟计算或公告。</w:t>
      </w:r>
    </w:p>
    <w:p w14:paraId="41CEEC0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3A429E24"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六、估值错误的处理</w:t>
      </w:r>
    </w:p>
    <w:p w14:paraId="28B9A8B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基金管理人和基金托管人将采取必要、适当、合理的措施确保基金资产估值的准确性、及时性。当任一类基金份额净值小数点后4位以内(含第4位)发生估值错误时，视为该类基金份额净值错误。</w:t>
      </w:r>
    </w:p>
    <w:p w14:paraId="758B367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本基金合同的当事人应按照以下约定处理：</w:t>
      </w:r>
    </w:p>
    <w:p w14:paraId="78B4A0C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、估值错误类型</w:t>
      </w:r>
    </w:p>
    <w:p w14:paraId="448A068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E296772" w14:textId="017BD34E" w:rsidR="00595296" w:rsidRPr="00696C7A" w:rsidRDefault="002B7F4D" w:rsidP="00696C7A">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上述估值错误的主要类型包括但不限于：资料申报差错、数据传输差错、数据计算差错、系统故障差错、下达指令差错等。</w:t>
      </w:r>
      <w:r w:rsidR="00696C7A">
        <w:rPr>
          <w:rFonts w:ascii="宋体" w:hAnsi="宋体" w:cs="宋体"/>
          <w:kern w:val="0"/>
          <w:szCs w:val="24"/>
          <w:lang w:bidi="ar"/>
        </w:rPr>
        <w:t>对于因技术原因引起的差错，若 系同行业现有技术水平不能预见、不能避免、不能克服，则属不可抗力，按照下 述规定执行： 由于不可抗力原因造成投资人的交易资料灭失或被错误处理或造成其他差 错，因不可抗力原因出现差错的当事人不对其他当事人承担赔偿责任，但因该差 错取得不当得利的当事人仍应负有返还不当得利的义务。</w:t>
      </w:r>
    </w:p>
    <w:p w14:paraId="15726AA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2</w:t>
      </w:r>
      <w:r w:rsidRPr="006F4D70">
        <w:rPr>
          <w:rFonts w:asciiTheme="minorEastAsia" w:eastAsiaTheme="minorEastAsia" w:hAnsiTheme="minorEastAsia" w:cs="宋体" w:hint="eastAsia"/>
          <w:kern w:val="0"/>
          <w:szCs w:val="24"/>
        </w:rPr>
        <w:t>、估值错误处理原则</w:t>
      </w:r>
    </w:p>
    <w:p w14:paraId="6172C51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B00BCB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）估值错误的责任方对有关当事人的直接损失负责，不对间接损失负责，并且仅对估值错误的有关直接当事人负责，不对第三方负责。</w:t>
      </w:r>
    </w:p>
    <w:p w14:paraId="3654370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D102F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）估值错误调整采用尽量恢复至假设未发生估值错误的正确情形的方式。</w:t>
      </w:r>
    </w:p>
    <w:p w14:paraId="086C2A6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、估值错误处理程序</w:t>
      </w:r>
    </w:p>
    <w:p w14:paraId="38A4903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估值错误被发现后，有关的当事人应当及时进行处理，处理的程序如下：</w:t>
      </w:r>
    </w:p>
    <w:p w14:paraId="1C3E123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）查明估值错误发生的原因，列明所有的当事人，并根据估值错误发生的原因确定估值错误的责任方；</w:t>
      </w:r>
    </w:p>
    <w:p w14:paraId="144D4EE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）根据估值错误处理原则或当事人协商的方法对因估值错误造成的损失进行评估；</w:t>
      </w:r>
    </w:p>
    <w:p w14:paraId="74D7B61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）根据估值错误处理原则或当事人协商的方法由估值错误的责任方进行更正和赔偿损失；</w:t>
      </w:r>
    </w:p>
    <w:p w14:paraId="1272BFC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）根据估值错误处理的方法，需要修改基金登记机构交易数据的，由基金登记机构进行更正，并就估值错误的更正向有关当事人进行确认。</w:t>
      </w:r>
    </w:p>
    <w:p w14:paraId="5734A463"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w:t>
      </w:r>
      <w:r w:rsidRPr="006F4D70">
        <w:rPr>
          <w:rFonts w:asciiTheme="minorEastAsia" w:eastAsiaTheme="minorEastAsia" w:hAnsiTheme="minorEastAsia" w:cs="宋体"/>
          <w:kern w:val="0"/>
          <w:szCs w:val="24"/>
        </w:rPr>
        <w:t>基金份额净值</w:t>
      </w:r>
      <w:r w:rsidRPr="006F4D70">
        <w:rPr>
          <w:rFonts w:asciiTheme="minorEastAsia" w:eastAsiaTheme="minorEastAsia" w:hAnsiTheme="minorEastAsia" w:cs="宋体" w:hint="eastAsia"/>
          <w:kern w:val="0"/>
          <w:szCs w:val="24"/>
        </w:rPr>
        <w:t>估值错误</w:t>
      </w:r>
      <w:r w:rsidRPr="006F4D70">
        <w:rPr>
          <w:rFonts w:asciiTheme="minorEastAsia" w:eastAsiaTheme="minorEastAsia" w:hAnsiTheme="minorEastAsia" w:cs="宋体"/>
          <w:kern w:val="0"/>
          <w:szCs w:val="24"/>
        </w:rPr>
        <w:t>处理的方法如下：</w:t>
      </w:r>
    </w:p>
    <w:p w14:paraId="19935B69"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（1）</w:t>
      </w:r>
      <w:r w:rsidRPr="006F4D70">
        <w:rPr>
          <w:rFonts w:asciiTheme="minorEastAsia" w:eastAsiaTheme="minorEastAsia" w:hAnsiTheme="minorEastAsia" w:cs="宋体" w:hint="eastAsia"/>
          <w:kern w:val="0"/>
          <w:szCs w:val="24"/>
        </w:rPr>
        <w:t>任一类</w:t>
      </w:r>
      <w:r w:rsidRPr="006F4D70">
        <w:rPr>
          <w:rFonts w:asciiTheme="minorEastAsia" w:eastAsiaTheme="minorEastAsia" w:hAnsiTheme="minorEastAsia" w:cs="宋体"/>
          <w:kern w:val="0"/>
          <w:szCs w:val="24"/>
        </w:rPr>
        <w:t>基金份额净值计算出现错误时，基金管理人应当立即予以纠正，通报基金托管人，并采取合理的措施防止损失进一步扩大。</w:t>
      </w:r>
    </w:p>
    <w:p w14:paraId="45267EC5" w14:textId="5A2B34DA"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（2）错误偏差达到该类基金份额净值的</w:t>
      </w:r>
      <w:r w:rsidRPr="006F4D70">
        <w:rPr>
          <w:rFonts w:asciiTheme="minorEastAsia" w:eastAsiaTheme="minorEastAsia" w:hAnsiTheme="minorEastAsia" w:cs="宋体"/>
          <w:kern w:val="0"/>
          <w:szCs w:val="24"/>
        </w:rPr>
        <w:t>0.25%</w:t>
      </w:r>
      <w:r w:rsidRPr="006F4D70">
        <w:rPr>
          <w:rFonts w:asciiTheme="minorEastAsia" w:eastAsiaTheme="minorEastAsia" w:hAnsiTheme="minorEastAsia" w:cs="宋体" w:hint="eastAsia"/>
          <w:kern w:val="0"/>
          <w:szCs w:val="24"/>
        </w:rPr>
        <w:t>时，基金管理人应当通报基金托管人并报中国证监会备案；错误偏差达到该类基金份额净值的</w:t>
      </w:r>
      <w:r w:rsidRPr="006F4D70">
        <w:rPr>
          <w:rFonts w:asciiTheme="minorEastAsia" w:eastAsiaTheme="minorEastAsia" w:hAnsiTheme="minorEastAsia" w:cs="宋体"/>
          <w:kern w:val="0"/>
          <w:szCs w:val="24"/>
        </w:rPr>
        <w:t>0.5%</w:t>
      </w:r>
      <w:r w:rsidRPr="006F4D70">
        <w:rPr>
          <w:rFonts w:asciiTheme="minorEastAsia" w:eastAsiaTheme="minorEastAsia" w:hAnsiTheme="minorEastAsia" w:cs="宋体" w:hint="eastAsia"/>
          <w:kern w:val="0"/>
          <w:szCs w:val="24"/>
        </w:rPr>
        <w:t>时，基金管理人应当公告</w:t>
      </w:r>
      <w:r w:rsidR="004E213A">
        <w:rPr>
          <w:rFonts w:asciiTheme="minorEastAsia" w:eastAsiaTheme="minorEastAsia" w:hAnsiTheme="minorEastAsia" w:cs="宋体" w:hint="eastAsia"/>
          <w:kern w:val="0"/>
          <w:szCs w:val="24"/>
        </w:rPr>
        <w:t>，通知基金托管人，</w:t>
      </w:r>
      <w:r w:rsidRPr="006F4D70">
        <w:rPr>
          <w:rFonts w:asciiTheme="minorEastAsia" w:eastAsiaTheme="minorEastAsia" w:hAnsiTheme="minorEastAsia" w:cs="宋体" w:hint="eastAsia"/>
          <w:kern w:val="0"/>
          <w:szCs w:val="24"/>
        </w:rPr>
        <w:t>并报中国证监会备案。</w:t>
      </w:r>
    </w:p>
    <w:p w14:paraId="70DA2B2C" w14:textId="771D6E70"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w:t>
      </w:r>
      <w:r w:rsidRPr="006F4D70">
        <w:rPr>
          <w:rFonts w:asciiTheme="minorEastAsia" w:eastAsiaTheme="minorEastAsia" w:hAnsiTheme="minorEastAsia" w:cs="宋体" w:hint="eastAsia"/>
          <w:kern w:val="0"/>
          <w:szCs w:val="24"/>
        </w:rPr>
        <w:t>3</w:t>
      </w:r>
      <w:r w:rsidRPr="006F4D70">
        <w:rPr>
          <w:rFonts w:asciiTheme="minorEastAsia" w:eastAsiaTheme="minorEastAsia" w:hAnsiTheme="minorEastAsia" w:cs="宋体"/>
          <w:kern w:val="0"/>
          <w:szCs w:val="24"/>
        </w:rPr>
        <w:t>）</w:t>
      </w:r>
      <w:r w:rsidR="004E213A">
        <w:rPr>
          <w:rFonts w:asciiTheme="minorEastAsia" w:eastAsiaTheme="minorEastAsia" w:hAnsiTheme="minorEastAsia" w:cs="宋体" w:hint="eastAsia"/>
          <w:kern w:val="0"/>
          <w:szCs w:val="24"/>
        </w:rPr>
        <w:t>前述内容</w:t>
      </w:r>
      <w:r w:rsidR="004E213A">
        <w:t>如法律法规或监管机关另有规定的，从其规定处理。如果行</w:t>
      </w:r>
      <w:r w:rsidR="004E213A">
        <w:t xml:space="preserve"> </w:t>
      </w:r>
      <w:r w:rsidR="004E213A">
        <w:t>业另有通行做法，基金管理人和基金托管人应本着平等和保护基金份额持有人利</w:t>
      </w:r>
      <w:r w:rsidR="004E213A">
        <w:t xml:space="preserve"> </w:t>
      </w:r>
      <w:r w:rsidR="004E213A">
        <w:t>益的原则进行协商。</w:t>
      </w:r>
    </w:p>
    <w:p w14:paraId="4DB822DE"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七、暂停估值的情形</w:t>
      </w:r>
    </w:p>
    <w:p w14:paraId="2C1E744B" w14:textId="2689DF36"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、基金投资所涉及的证券、期货交易场所</w:t>
      </w:r>
      <w:r w:rsidR="00631A89">
        <w:rPr>
          <w:rFonts w:asciiTheme="minorEastAsia" w:eastAsiaTheme="minorEastAsia" w:hAnsiTheme="minorEastAsia" w:cs="宋体" w:hint="eastAsia"/>
          <w:kern w:val="0"/>
          <w:szCs w:val="24"/>
        </w:rPr>
        <w:t>或外汇市场</w:t>
      </w:r>
      <w:r w:rsidRPr="006F4D70">
        <w:rPr>
          <w:rFonts w:asciiTheme="minorEastAsia" w:eastAsiaTheme="minorEastAsia" w:hAnsiTheme="minorEastAsia" w:cs="宋体" w:hint="eastAsia"/>
          <w:kern w:val="0"/>
          <w:szCs w:val="24"/>
        </w:rPr>
        <w:t>遇法定节假日或因其他原因暂停营业时；</w:t>
      </w:r>
    </w:p>
    <w:p w14:paraId="27602C5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、因不可抗力</w:t>
      </w:r>
      <w:r w:rsidRPr="006F4D70">
        <w:rPr>
          <w:rFonts w:asciiTheme="minorEastAsia" w:eastAsiaTheme="minorEastAsia" w:hAnsiTheme="minorEastAsia" w:hint="eastAsia"/>
          <w:szCs w:val="21"/>
        </w:rPr>
        <w:t>或其他情形</w:t>
      </w:r>
      <w:r w:rsidRPr="006F4D70">
        <w:rPr>
          <w:rFonts w:asciiTheme="minorEastAsia" w:eastAsiaTheme="minorEastAsia" w:hAnsiTheme="minorEastAsia" w:cs="宋体" w:hint="eastAsia"/>
          <w:kern w:val="0"/>
          <w:szCs w:val="24"/>
        </w:rPr>
        <w:t>致使基金管理人</w:t>
      </w:r>
      <w:r w:rsidRPr="006F4D70">
        <w:rPr>
          <w:rFonts w:asciiTheme="minorEastAsia" w:eastAsiaTheme="minorEastAsia" w:hAnsiTheme="minorEastAsia" w:cs="宋体"/>
          <w:kern w:val="0"/>
          <w:szCs w:val="24"/>
        </w:rPr>
        <w:t>、基金托管人</w:t>
      </w:r>
      <w:r w:rsidRPr="006F4D70">
        <w:rPr>
          <w:rFonts w:asciiTheme="minorEastAsia" w:eastAsiaTheme="minorEastAsia" w:hAnsiTheme="minorEastAsia" w:cs="宋体" w:hint="eastAsia"/>
          <w:kern w:val="0"/>
          <w:szCs w:val="24"/>
        </w:rPr>
        <w:t>无法准确评估基金资产价值时；</w:t>
      </w:r>
    </w:p>
    <w:p w14:paraId="2F914624"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kern w:val="0"/>
          <w:szCs w:val="24"/>
        </w:rPr>
        <w:t>3、</w:t>
      </w:r>
      <w:r w:rsidRPr="006F4D70">
        <w:rPr>
          <w:rFonts w:asciiTheme="minorEastAsia" w:eastAsiaTheme="minorEastAsia" w:hAnsiTheme="minorEastAsia" w:cs="宋体" w:hint="eastAsia"/>
          <w:bCs/>
          <w:kern w:val="0"/>
          <w:szCs w:val="24"/>
        </w:rPr>
        <w:t>当特定资产占前一估值日基金资产净值50%以上的，经与基金托管人协商确认后，基金管理人应当暂停估值；</w:t>
      </w:r>
    </w:p>
    <w:p w14:paraId="733CB2A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4、法律法规规定、中国证监会和《基金合同》认定的其他情形。</w:t>
      </w:r>
    </w:p>
    <w:p w14:paraId="7A9FDB15"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八、基金净值的确认</w:t>
      </w:r>
    </w:p>
    <w:p w14:paraId="61A4AA0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用于基金信息披露的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信息按规定予以公布。</w:t>
      </w:r>
    </w:p>
    <w:p w14:paraId="051C33C1" w14:textId="26643A6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本基金在每个工作日计算基金资产净值及各类基金份额净值时，将统一按前一日基金资产净值的1.20%的年费率计算管理费，投资者实际承担的管理费将依据本基金合同“基金费用与税收”章节的约定计算和收取。</w:t>
      </w:r>
    </w:p>
    <w:bookmarkEnd w:id="198"/>
    <w:bookmarkEnd w:id="199"/>
    <w:bookmarkEnd w:id="200"/>
    <w:p w14:paraId="25FA18BB"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九、特殊情形的处理</w:t>
      </w:r>
    </w:p>
    <w:p w14:paraId="06937875" w14:textId="3102EA1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、基金管理人、基金托管人按估值方法的第</w:t>
      </w:r>
      <w:r w:rsidR="000C3B68" w:rsidRPr="006F4D70">
        <w:rPr>
          <w:rFonts w:asciiTheme="minorEastAsia" w:eastAsiaTheme="minorEastAsia" w:hAnsiTheme="minorEastAsia" w:cs="宋体"/>
          <w:kern w:val="0"/>
          <w:szCs w:val="24"/>
        </w:rPr>
        <w:t>1</w:t>
      </w:r>
      <w:r w:rsidR="00D61FC7">
        <w:rPr>
          <w:rFonts w:asciiTheme="minorEastAsia" w:eastAsiaTheme="minorEastAsia" w:hAnsiTheme="minorEastAsia" w:cs="宋体" w:hint="eastAsia"/>
          <w:kern w:val="0"/>
          <w:szCs w:val="24"/>
        </w:rPr>
        <w:t>2</w:t>
      </w:r>
      <w:r w:rsidRPr="006F4D70">
        <w:rPr>
          <w:rFonts w:asciiTheme="minorEastAsia" w:eastAsiaTheme="minorEastAsia" w:hAnsiTheme="minorEastAsia" w:cs="宋体" w:hint="eastAsia"/>
          <w:kern w:val="0"/>
          <w:szCs w:val="24"/>
        </w:rPr>
        <w:t>项进行估值时，所造成的误差不作为基金资产估值错误处理；</w:t>
      </w:r>
    </w:p>
    <w:p w14:paraId="6280CEA8" w14:textId="5B69DB93"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、由于证券、期货交易所及登记结算公司等第三方机构发送的数据错误，</w:t>
      </w:r>
      <w:r w:rsidRPr="006F4D70">
        <w:rPr>
          <w:rFonts w:asciiTheme="minorEastAsia" w:eastAsiaTheme="minorEastAsia" w:hAnsiTheme="minorEastAsia" w:cs="宋体" w:hint="eastAsia"/>
          <w:kern w:val="0"/>
          <w:szCs w:val="24"/>
        </w:rPr>
        <w:lastRenderedPageBreak/>
        <w:t>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消除或减轻由此造成的影响。</w:t>
      </w:r>
    </w:p>
    <w:p w14:paraId="0284FF0B"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十、实施侧袋机制期间的基金资产估值</w:t>
      </w:r>
    </w:p>
    <w:p w14:paraId="4338EDB6" w14:textId="77777777" w:rsidR="00595296" w:rsidRPr="006F4D70" w:rsidRDefault="002B7F4D">
      <w:pPr>
        <w:autoSpaceDE w:val="0"/>
        <w:autoSpaceDN w:val="0"/>
        <w:adjustRightInd w:val="0"/>
        <w:ind w:firstLine="480"/>
        <w:rPr>
          <w:rFonts w:asciiTheme="minorEastAsia" w:eastAsiaTheme="minorEastAsia" w:hAnsiTheme="minorEastAsia" w:cs="宋体"/>
          <w:b/>
          <w:bCs/>
          <w:kern w:val="0"/>
          <w:sz w:val="30"/>
          <w:szCs w:val="30"/>
        </w:rPr>
      </w:pPr>
      <w:r w:rsidRPr="006F4D70">
        <w:rPr>
          <w:rFonts w:asciiTheme="minorEastAsia" w:eastAsiaTheme="minorEastAsia" w:hAnsiTheme="minorEastAsia" w:cs="宋体" w:hint="eastAsia"/>
          <w:kern w:val="0"/>
          <w:szCs w:val="24"/>
        </w:rPr>
        <w:t>本基金实施侧袋机制的，应根据本部分的约定对主袋账户资产进行估值并披露主袋账户的基金净值信息，暂停披露侧袋账户份额净值。</w:t>
      </w:r>
      <w:bookmarkEnd w:id="201"/>
    </w:p>
    <w:bookmarkEnd w:id="202"/>
    <w:p w14:paraId="7A04391B" w14:textId="77777777" w:rsidR="00595296" w:rsidRPr="006F4D70" w:rsidRDefault="00595296">
      <w:pPr>
        <w:widowControl/>
        <w:ind w:firstLine="602"/>
        <w:rPr>
          <w:rFonts w:asciiTheme="minorEastAsia" w:eastAsiaTheme="minorEastAsia" w:hAnsiTheme="minorEastAsia" w:cs="宋体"/>
          <w:b/>
          <w:bCs/>
          <w:kern w:val="0"/>
          <w:sz w:val="30"/>
          <w:szCs w:val="30"/>
        </w:rPr>
      </w:pPr>
    </w:p>
    <w:p w14:paraId="0F0FB76C" w14:textId="77777777" w:rsidR="00595296" w:rsidRPr="006F4D70" w:rsidRDefault="00595296">
      <w:pPr>
        <w:widowControl/>
        <w:ind w:firstLine="602"/>
        <w:rPr>
          <w:rFonts w:asciiTheme="minorEastAsia" w:eastAsiaTheme="minorEastAsia" w:hAnsiTheme="minorEastAsia" w:cs="宋体"/>
          <w:b/>
          <w:bCs/>
          <w:kern w:val="0"/>
          <w:sz w:val="30"/>
          <w:szCs w:val="30"/>
        </w:rPr>
      </w:pPr>
    </w:p>
    <w:p w14:paraId="68FC7263" w14:textId="77777777" w:rsidR="00595296" w:rsidRPr="006F4D70" w:rsidRDefault="002B7F4D">
      <w:pPr>
        <w:pStyle w:val="1"/>
        <w:ind w:firstLine="602"/>
        <w:rPr>
          <w:rFonts w:asciiTheme="minorEastAsia" w:eastAsiaTheme="minorEastAsia" w:hAnsiTheme="minorEastAsia"/>
          <w:kern w:val="0"/>
        </w:rPr>
      </w:pPr>
      <w:r w:rsidRPr="006F4D70">
        <w:rPr>
          <w:rFonts w:asciiTheme="minorEastAsia" w:eastAsiaTheme="minorEastAsia" w:hAnsiTheme="minorEastAsia"/>
          <w:kern w:val="0"/>
        </w:rPr>
        <w:br w:type="page"/>
      </w:r>
      <w:bookmarkStart w:id="203" w:name="_Toc15779"/>
      <w:bookmarkStart w:id="204" w:name="_Toc32041"/>
      <w:bookmarkStart w:id="205" w:name="_Toc32227"/>
      <w:bookmarkStart w:id="206" w:name="_Toc12105"/>
      <w:bookmarkStart w:id="207" w:name="_Toc24601"/>
      <w:bookmarkStart w:id="208" w:name="_Toc13987"/>
      <w:bookmarkStart w:id="209" w:name="_Toc6493"/>
      <w:bookmarkStart w:id="210" w:name="_Toc19752"/>
      <w:bookmarkStart w:id="211" w:name="_Toc377998630"/>
      <w:bookmarkStart w:id="212" w:name="_Toc3365"/>
      <w:bookmarkStart w:id="213" w:name="_Toc19706"/>
      <w:bookmarkStart w:id="214" w:name="_Toc198902627"/>
      <w:r w:rsidRPr="006F4D70">
        <w:rPr>
          <w:rFonts w:asciiTheme="minorEastAsia" w:eastAsiaTheme="minorEastAsia" w:hAnsiTheme="minorEastAsia" w:hint="eastAsia"/>
          <w:kern w:val="0"/>
        </w:rPr>
        <w:lastRenderedPageBreak/>
        <w:t>第十五部分    基金费用与税收</w:t>
      </w:r>
      <w:bookmarkEnd w:id="203"/>
      <w:bookmarkEnd w:id="204"/>
      <w:bookmarkEnd w:id="205"/>
      <w:bookmarkEnd w:id="206"/>
      <w:bookmarkEnd w:id="207"/>
      <w:bookmarkEnd w:id="208"/>
      <w:bookmarkEnd w:id="209"/>
      <w:bookmarkEnd w:id="210"/>
      <w:bookmarkEnd w:id="211"/>
      <w:bookmarkEnd w:id="212"/>
      <w:bookmarkEnd w:id="213"/>
      <w:bookmarkEnd w:id="214"/>
    </w:p>
    <w:p w14:paraId="37BD3D1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215" w:name="_Hlk131362148"/>
      <w:r w:rsidRPr="006F4D70">
        <w:rPr>
          <w:rFonts w:asciiTheme="minorEastAsia" w:eastAsiaTheme="minorEastAsia" w:hAnsiTheme="minorEastAsia" w:cs="宋体" w:hint="eastAsia"/>
          <w:b/>
          <w:bCs/>
          <w:kern w:val="0"/>
          <w:szCs w:val="24"/>
        </w:rPr>
        <w:t>一、基金费用的种类</w:t>
      </w:r>
    </w:p>
    <w:p w14:paraId="71DDA898" w14:textId="09C45EDF"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、基金管理人的管理费</w:t>
      </w:r>
      <w:r w:rsidR="00631A89" w:rsidRPr="00631A89">
        <w:rPr>
          <w:rFonts w:asciiTheme="minorEastAsia" w:eastAsiaTheme="minorEastAsia" w:hAnsiTheme="minorEastAsia" w:cs="宋体" w:hint="eastAsia"/>
          <w:kern w:val="0"/>
          <w:szCs w:val="24"/>
        </w:rPr>
        <w:t>（包括固定管理费、或有管理费和超额管理费）</w:t>
      </w:r>
      <w:r w:rsidRPr="006F4D70">
        <w:rPr>
          <w:rFonts w:asciiTheme="minorEastAsia" w:eastAsiaTheme="minorEastAsia" w:hAnsiTheme="minorEastAsia" w:cs="宋体" w:hint="eastAsia"/>
          <w:kern w:val="0"/>
          <w:szCs w:val="24"/>
        </w:rPr>
        <w:t>；</w:t>
      </w:r>
    </w:p>
    <w:p w14:paraId="5F99B81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、基金托管人的托管费；</w:t>
      </w:r>
    </w:p>
    <w:p w14:paraId="27393C2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、C类基金份额的销售服务费；</w:t>
      </w:r>
    </w:p>
    <w:p w14:paraId="59C480A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4、《基金合同》生效后与基金相关的信息披露费用，但法律法规、中国证监会另有规定的除外；</w:t>
      </w:r>
    </w:p>
    <w:p w14:paraId="628939A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、《基金合同》生效后与基金相关的</w:t>
      </w:r>
      <w:bookmarkStart w:id="216" w:name="_Hlk210042019"/>
      <w:r w:rsidRPr="006F4D70">
        <w:rPr>
          <w:rFonts w:asciiTheme="minorEastAsia" w:eastAsiaTheme="minorEastAsia" w:hAnsiTheme="minorEastAsia" w:cs="宋体" w:hint="eastAsia"/>
          <w:kern w:val="0"/>
          <w:szCs w:val="24"/>
        </w:rPr>
        <w:t>会计师费、律师费、仲裁费和诉讼费</w:t>
      </w:r>
      <w:bookmarkEnd w:id="216"/>
      <w:r w:rsidRPr="006F4D70">
        <w:rPr>
          <w:rFonts w:asciiTheme="minorEastAsia" w:eastAsiaTheme="minorEastAsia" w:hAnsiTheme="minorEastAsia" w:cs="宋体" w:hint="eastAsia"/>
          <w:kern w:val="0"/>
          <w:szCs w:val="24"/>
        </w:rPr>
        <w:t>；</w:t>
      </w:r>
    </w:p>
    <w:p w14:paraId="4575761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、基金份额持有人大会费用；</w:t>
      </w:r>
    </w:p>
    <w:p w14:paraId="4641041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w:t>
      </w:r>
      <w:bookmarkStart w:id="217" w:name="_Hlk210041994"/>
      <w:r w:rsidRPr="006F4D70">
        <w:rPr>
          <w:rFonts w:asciiTheme="minorEastAsia" w:eastAsiaTheme="minorEastAsia" w:hAnsiTheme="minorEastAsia" w:cs="宋体" w:hint="eastAsia"/>
          <w:kern w:val="0"/>
          <w:szCs w:val="24"/>
        </w:rPr>
        <w:t>基金的证券、期货、股票期权等交易或结算费用</w:t>
      </w:r>
      <w:bookmarkEnd w:id="217"/>
      <w:r w:rsidRPr="006F4D70">
        <w:rPr>
          <w:rFonts w:asciiTheme="minorEastAsia" w:eastAsiaTheme="minorEastAsia" w:hAnsiTheme="minorEastAsia" w:cs="宋体" w:hint="eastAsia"/>
          <w:kern w:val="0"/>
          <w:szCs w:val="24"/>
        </w:rPr>
        <w:t>；</w:t>
      </w:r>
    </w:p>
    <w:p w14:paraId="474699C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8</w:t>
      </w:r>
      <w:r w:rsidRPr="006F4D70">
        <w:rPr>
          <w:rFonts w:asciiTheme="minorEastAsia" w:eastAsiaTheme="minorEastAsia" w:hAnsiTheme="minorEastAsia" w:cs="宋体" w:hint="eastAsia"/>
          <w:kern w:val="0"/>
          <w:szCs w:val="24"/>
        </w:rPr>
        <w:t>、</w:t>
      </w:r>
      <w:bookmarkStart w:id="218" w:name="_Hlk210042008"/>
      <w:r w:rsidRPr="006F4D70">
        <w:rPr>
          <w:rFonts w:asciiTheme="minorEastAsia" w:eastAsiaTheme="minorEastAsia" w:hAnsiTheme="minorEastAsia" w:cs="宋体" w:hint="eastAsia"/>
          <w:kern w:val="0"/>
          <w:szCs w:val="24"/>
        </w:rPr>
        <w:t>基金的银行汇划费用</w:t>
      </w:r>
      <w:bookmarkEnd w:id="218"/>
      <w:r w:rsidRPr="006F4D70">
        <w:rPr>
          <w:rFonts w:asciiTheme="minorEastAsia" w:eastAsiaTheme="minorEastAsia" w:hAnsiTheme="minorEastAsia" w:cs="宋体" w:hint="eastAsia"/>
          <w:kern w:val="0"/>
          <w:szCs w:val="24"/>
        </w:rPr>
        <w:t>；</w:t>
      </w:r>
    </w:p>
    <w:p w14:paraId="7A85722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9</w:t>
      </w:r>
      <w:r w:rsidRPr="006F4D70">
        <w:rPr>
          <w:rFonts w:asciiTheme="minorEastAsia" w:eastAsiaTheme="minorEastAsia" w:hAnsiTheme="minorEastAsia" w:cs="宋体" w:hint="eastAsia"/>
          <w:kern w:val="0"/>
          <w:szCs w:val="24"/>
        </w:rPr>
        <w:t>、基金的</w:t>
      </w:r>
      <w:bookmarkStart w:id="219" w:name="_Hlk210041987"/>
      <w:r w:rsidRPr="006F4D70">
        <w:rPr>
          <w:rFonts w:asciiTheme="minorEastAsia" w:eastAsiaTheme="minorEastAsia" w:hAnsiTheme="minorEastAsia" w:cs="宋体" w:hint="eastAsia"/>
          <w:kern w:val="0"/>
          <w:szCs w:val="24"/>
        </w:rPr>
        <w:t>相关账户开户费和账户维护费</w:t>
      </w:r>
      <w:bookmarkEnd w:id="219"/>
      <w:r w:rsidRPr="006F4D70">
        <w:rPr>
          <w:rFonts w:asciiTheme="minorEastAsia" w:eastAsiaTheme="minorEastAsia" w:hAnsiTheme="minorEastAsia" w:cs="宋体" w:hint="eastAsia"/>
          <w:kern w:val="0"/>
          <w:szCs w:val="24"/>
        </w:rPr>
        <w:t>；</w:t>
      </w:r>
    </w:p>
    <w:p w14:paraId="6C7A2C3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10</w:t>
      </w:r>
      <w:r w:rsidRPr="006F4D70">
        <w:rPr>
          <w:rFonts w:asciiTheme="minorEastAsia" w:eastAsiaTheme="minorEastAsia" w:hAnsiTheme="minorEastAsia" w:cs="宋体" w:hint="eastAsia"/>
          <w:kern w:val="0"/>
          <w:szCs w:val="24"/>
        </w:rPr>
        <w:t>、</w:t>
      </w:r>
      <w:bookmarkStart w:id="220" w:name="_Hlk210042002"/>
      <w:r w:rsidRPr="006F4D70">
        <w:rPr>
          <w:rFonts w:asciiTheme="minorEastAsia" w:eastAsiaTheme="minorEastAsia" w:hAnsiTheme="minorEastAsia" w:cs="宋体" w:hint="eastAsia"/>
          <w:kern w:val="0"/>
          <w:szCs w:val="24"/>
        </w:rPr>
        <w:t>投资港股通标的股票的相关费用</w:t>
      </w:r>
      <w:bookmarkEnd w:id="220"/>
      <w:r w:rsidRPr="006F4D70">
        <w:rPr>
          <w:rFonts w:asciiTheme="minorEastAsia" w:eastAsiaTheme="minorEastAsia" w:hAnsiTheme="minorEastAsia" w:cs="宋体" w:hint="eastAsia"/>
          <w:kern w:val="0"/>
          <w:szCs w:val="24"/>
        </w:rPr>
        <w:t>；</w:t>
      </w:r>
    </w:p>
    <w:p w14:paraId="25FF548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、按照国家有关规定和《基金合同》约定，可以在基金财产中列支的其他费用。</w:t>
      </w:r>
    </w:p>
    <w:p w14:paraId="4F5BC14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本基金终止清算时所发生费用，按实际支出额从基金财产总值中扣除。</w:t>
      </w:r>
    </w:p>
    <w:p w14:paraId="0E13682A"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二、基金费用计提方法、计提标准和支付方式</w:t>
      </w:r>
    </w:p>
    <w:p w14:paraId="198FC7C9" w14:textId="77777777" w:rsidR="00595296" w:rsidRPr="006F4D70" w:rsidRDefault="002B7F4D" w:rsidP="00B34F20">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、基金管理人的管理费</w:t>
      </w:r>
    </w:p>
    <w:p w14:paraId="3BF02A29" w14:textId="07198A78"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本基金根据每</w:t>
      </w:r>
      <w:bookmarkStart w:id="221" w:name="_Hlk196338562"/>
      <w:r w:rsidR="00DD5BCB" w:rsidRPr="006F4D70">
        <w:rPr>
          <w:rFonts w:asciiTheme="minorEastAsia" w:eastAsiaTheme="minorEastAsia" w:hAnsiTheme="minorEastAsia" w:cs="仿宋" w:hint="eastAsia"/>
          <w:bCs/>
          <w:szCs w:val="24"/>
          <w14:ligatures w14:val="standardContextual"/>
        </w:rPr>
        <w:t>笔基金份额的持有期限与持有期间年化收益率，在赎回</w:t>
      </w:r>
      <w:bookmarkStart w:id="222" w:name="_Hlk195865221"/>
      <w:r w:rsidR="00DD5BCB" w:rsidRPr="006F4D70">
        <w:rPr>
          <w:rFonts w:asciiTheme="minorEastAsia" w:eastAsiaTheme="minorEastAsia" w:hAnsiTheme="minorEastAsia" w:cs="仿宋" w:hint="eastAsia"/>
          <w:bCs/>
          <w:szCs w:val="24"/>
          <w14:ligatures w14:val="standardContextual"/>
        </w:rPr>
        <w:t>、转出</w:t>
      </w:r>
      <w:bookmarkEnd w:id="222"/>
      <w:r w:rsidR="00DD5BCB" w:rsidRPr="006F4D70">
        <w:rPr>
          <w:rFonts w:asciiTheme="minorEastAsia" w:eastAsiaTheme="minorEastAsia" w:hAnsiTheme="minorEastAsia" w:cs="仿宋" w:hint="eastAsia"/>
          <w:bCs/>
          <w:szCs w:val="24"/>
          <w14:ligatures w14:val="standardContextual"/>
        </w:rPr>
        <w:t>基金份额</w:t>
      </w:r>
      <w:bookmarkStart w:id="223" w:name="_Hlk195865226"/>
      <w:r w:rsidR="00DD5BCB" w:rsidRPr="006F4D70">
        <w:rPr>
          <w:rFonts w:asciiTheme="minorEastAsia" w:eastAsiaTheme="minorEastAsia" w:hAnsiTheme="minorEastAsia" w:cs="仿宋" w:hint="eastAsia"/>
          <w:bCs/>
          <w:szCs w:val="24"/>
          <w14:ligatures w14:val="standardContextual"/>
        </w:rPr>
        <w:t>或基金合同终止的情形发生</w:t>
      </w:r>
      <w:bookmarkEnd w:id="223"/>
      <w:r w:rsidR="00DD5BCB" w:rsidRPr="006F4D70">
        <w:rPr>
          <w:rFonts w:asciiTheme="minorEastAsia" w:eastAsiaTheme="minorEastAsia" w:hAnsiTheme="minorEastAsia" w:cs="仿宋" w:hint="eastAsia"/>
          <w:bCs/>
          <w:szCs w:val="24"/>
          <w14:ligatures w14:val="standardContextual"/>
        </w:rPr>
        <w:t>时确定该笔基金份额对应的管理费</w:t>
      </w:r>
      <w:bookmarkEnd w:id="221"/>
      <w:r w:rsidRPr="006F4D70">
        <w:rPr>
          <w:rFonts w:asciiTheme="minorEastAsia" w:eastAsiaTheme="minorEastAsia" w:hAnsiTheme="minorEastAsia" w:cs="仿宋" w:hint="eastAsia"/>
          <w:bCs/>
          <w:szCs w:val="24"/>
          <w14:ligatures w14:val="standardContextual"/>
        </w:rPr>
        <w:t>。当投资者赎回</w:t>
      </w:r>
      <w:bookmarkStart w:id="224" w:name="_Hlk195865234"/>
      <w:r w:rsidRPr="006F4D70">
        <w:rPr>
          <w:rFonts w:asciiTheme="minorEastAsia" w:eastAsiaTheme="minorEastAsia" w:hAnsiTheme="minorEastAsia" w:cs="仿宋" w:hint="eastAsia"/>
          <w:bCs/>
          <w:szCs w:val="24"/>
          <w14:ligatures w14:val="standardContextual"/>
        </w:rPr>
        <w:t>、转出基金份额或基金合同终止的情形发生</w:t>
      </w:r>
      <w:bookmarkEnd w:id="224"/>
      <w:r w:rsidRPr="006F4D70">
        <w:rPr>
          <w:rFonts w:asciiTheme="minorEastAsia" w:eastAsiaTheme="minorEastAsia" w:hAnsiTheme="minorEastAsia" w:cs="仿宋" w:hint="eastAsia"/>
          <w:bCs/>
          <w:szCs w:val="24"/>
          <w14:ligatures w14:val="standardContextual"/>
        </w:rPr>
        <w:t>时，持有期限</w:t>
      </w:r>
      <w:bookmarkStart w:id="225" w:name="_Hlk196338589"/>
      <w:r w:rsidRPr="006F4D70">
        <w:rPr>
          <w:rFonts w:asciiTheme="minorEastAsia" w:eastAsiaTheme="minorEastAsia" w:hAnsiTheme="minorEastAsia" w:cs="仿宋" w:hint="eastAsia"/>
          <w:bCs/>
          <w:szCs w:val="24"/>
          <w14:ligatures w14:val="standardContextual"/>
        </w:rPr>
        <w:t>不足一年（即365天，下同），则按1.20%年费率收取管理费；持有期限达到一年及以上，则根据持有期间年化收益率分为以下三种情况，分别确定对应的管理费率档位：</w:t>
      </w:r>
    </w:p>
    <w:p w14:paraId="078E2CF5" w14:textId="0EECAA3E" w:rsidR="00595296" w:rsidRPr="006F4D70" w:rsidRDefault="002B7F4D">
      <w:pPr>
        <w:ind w:firstLine="480"/>
        <w:rPr>
          <w:rFonts w:asciiTheme="minorEastAsia" w:eastAsiaTheme="minorEastAsia" w:hAnsiTheme="minorEastAsia" w:cs="仿宋"/>
          <w:bCs/>
          <w:szCs w:val="24"/>
          <w14:ligatures w14:val="standardContextual"/>
        </w:rPr>
      </w:pPr>
      <w:bookmarkStart w:id="226" w:name="_Hlk196338625"/>
      <w:bookmarkEnd w:id="225"/>
      <w:r w:rsidRPr="006F4D70">
        <w:rPr>
          <w:rFonts w:asciiTheme="minorEastAsia" w:eastAsiaTheme="minorEastAsia" w:hAnsiTheme="minorEastAsia" w:cs="仿宋" w:hint="eastAsia"/>
          <w:bCs/>
          <w:szCs w:val="24"/>
          <w14:ligatures w14:val="standardContextual"/>
        </w:rPr>
        <w:t>若持有期间相对业绩比较基准的年化收益率（扣除超额管理费后）超过6%且</w:t>
      </w:r>
      <w:r w:rsidR="00621214" w:rsidRPr="006F4D70">
        <w:rPr>
          <w:rFonts w:asciiTheme="minorEastAsia" w:eastAsiaTheme="minorEastAsia" w:hAnsiTheme="minorEastAsia" w:cs="仿宋" w:hint="eastAsia"/>
          <w:bCs/>
          <w:szCs w:val="24"/>
          <w14:ligatures w14:val="standardContextual"/>
        </w:rPr>
        <w:t>年化</w:t>
      </w:r>
      <w:r w:rsidRPr="006F4D70">
        <w:rPr>
          <w:rFonts w:asciiTheme="minorEastAsia" w:eastAsiaTheme="minorEastAsia" w:hAnsiTheme="minorEastAsia" w:cs="仿宋" w:hint="eastAsia"/>
          <w:bCs/>
          <w:szCs w:val="24"/>
          <w14:ligatures w14:val="standardContextual"/>
        </w:rPr>
        <w:t>收益率（扣除超额管理费后）为正，按1.50%年费率确认管理费；</w:t>
      </w:r>
      <w:r w:rsidR="009B41B1">
        <w:rPr>
          <w:rFonts w:ascii="Times New Roman" w:hAnsi="Times New Roman" w:hint="eastAsia"/>
          <w:bCs/>
          <w14:ligatures w14:val="standardContextual"/>
        </w:rPr>
        <w:t>若持有期间</w:t>
      </w:r>
      <w:bookmarkStart w:id="227" w:name="_Hlk198192997"/>
      <w:r w:rsidR="00A63482" w:rsidRPr="006F4D70">
        <w:rPr>
          <w:rFonts w:asciiTheme="minorEastAsia" w:eastAsiaTheme="minorEastAsia" w:hAnsiTheme="minorEastAsia" w:cs="仿宋" w:hint="eastAsia"/>
          <w:bCs/>
          <w:szCs w:val="24"/>
          <w14:ligatures w14:val="standardContextual"/>
        </w:rPr>
        <w:t>相对业绩比较基准的年化收益率</w:t>
      </w:r>
      <w:bookmarkEnd w:id="227"/>
      <w:r w:rsidR="009B41B1">
        <w:rPr>
          <w:rFonts w:ascii="Times New Roman" w:hAnsi="Times New Roman" w:hint="eastAsia"/>
          <w:bCs/>
          <w14:ligatures w14:val="standardContextual"/>
        </w:rPr>
        <w:t>在</w:t>
      </w:r>
      <w:r w:rsidR="009B41B1">
        <w:rPr>
          <w:rFonts w:ascii="Times New Roman" w:hAnsi="Times New Roman" w:hint="eastAsia"/>
          <w:bCs/>
          <w14:ligatures w14:val="standardContextual"/>
        </w:rPr>
        <w:t>-3%</w:t>
      </w:r>
      <w:r w:rsidR="009B41B1">
        <w:rPr>
          <w:rFonts w:ascii="Times New Roman" w:hAnsi="Times New Roman" w:hint="eastAsia"/>
          <w:bCs/>
          <w14:ligatures w14:val="standardContextual"/>
        </w:rPr>
        <w:t>及以下</w:t>
      </w:r>
      <w:r w:rsidRPr="006F4D70">
        <w:rPr>
          <w:rFonts w:asciiTheme="minorEastAsia" w:eastAsiaTheme="minorEastAsia" w:hAnsiTheme="minorEastAsia" w:cs="仿宋" w:hint="eastAsia"/>
          <w:bCs/>
          <w:szCs w:val="24"/>
          <w14:ligatures w14:val="standardContextual"/>
        </w:rPr>
        <w:t>，按0.60%年费率确认管理费；其他情形按1.20%年费率确认管理费。</w:t>
      </w:r>
    </w:p>
    <w:tbl>
      <w:tblPr>
        <w:tblStyle w:val="50"/>
        <w:tblW w:w="6658" w:type="dxa"/>
        <w:jc w:val="center"/>
        <w:tblInd w:w="0" w:type="dxa"/>
        <w:tblCellMar>
          <w:left w:w="108" w:type="dxa"/>
          <w:right w:w="108" w:type="dxa"/>
        </w:tblCellMar>
        <w:tblLook w:val="04A0" w:firstRow="1" w:lastRow="0" w:firstColumn="1" w:lastColumn="0" w:noHBand="0" w:noVBand="1"/>
      </w:tblPr>
      <w:tblGrid>
        <w:gridCol w:w="3827"/>
        <w:gridCol w:w="2831"/>
      </w:tblGrid>
      <w:tr w:rsidR="00595296" w:rsidRPr="006F4D70" w14:paraId="62C8A9D1" w14:textId="77777777">
        <w:trPr>
          <w:trHeight w:val="510"/>
          <w:jc w:val="center"/>
        </w:trPr>
        <w:tc>
          <w:tcPr>
            <w:tcW w:w="3827" w:type="dxa"/>
            <w:vAlign w:val="center"/>
          </w:tcPr>
          <w:p w14:paraId="745F601C" w14:textId="77777777" w:rsidR="00595296" w:rsidRPr="006F4D70" w:rsidRDefault="002B7F4D">
            <w:pPr>
              <w:spacing w:line="276" w:lineRule="auto"/>
              <w:ind w:firstLineChars="0" w:firstLine="0"/>
              <w:jc w:val="center"/>
              <w:rPr>
                <w:rFonts w:asciiTheme="minorEastAsia" w:eastAsiaTheme="minorEastAsia" w:hAnsiTheme="minorEastAsia" w:cs="仿宋"/>
                <w:b/>
                <w:sz w:val="22"/>
                <w14:ligatures w14:val="standardContextual"/>
              </w:rPr>
            </w:pPr>
            <w:bookmarkStart w:id="228" w:name="_Hlk196342079"/>
            <w:r w:rsidRPr="006F4D70">
              <w:rPr>
                <w:rFonts w:asciiTheme="minorEastAsia" w:eastAsiaTheme="minorEastAsia" w:hAnsiTheme="minorEastAsia" w:cs="仿宋" w:hint="eastAsia"/>
                <w:b/>
                <w:sz w:val="22"/>
                <w14:ligatures w14:val="standardContextual"/>
              </w:rPr>
              <w:t>持有期间年化收益率（R）</w:t>
            </w:r>
          </w:p>
        </w:tc>
        <w:tc>
          <w:tcPr>
            <w:tcW w:w="2831" w:type="dxa"/>
            <w:vAlign w:val="center"/>
          </w:tcPr>
          <w:p w14:paraId="09F6F95A" w14:textId="77777777" w:rsidR="00595296" w:rsidRPr="006F4D70" w:rsidRDefault="002B7F4D">
            <w:pPr>
              <w:spacing w:line="276" w:lineRule="auto"/>
              <w:ind w:firstLineChars="0" w:firstLine="0"/>
              <w:jc w:val="center"/>
              <w:rPr>
                <w:rFonts w:asciiTheme="minorEastAsia" w:eastAsiaTheme="minorEastAsia" w:hAnsiTheme="minorEastAsia" w:cs="仿宋"/>
                <w:b/>
                <w:sz w:val="22"/>
                <w14:ligatures w14:val="standardContextual"/>
              </w:rPr>
            </w:pPr>
            <w:r w:rsidRPr="006F4D70">
              <w:rPr>
                <w:rFonts w:asciiTheme="minorEastAsia" w:eastAsiaTheme="minorEastAsia" w:hAnsiTheme="minorEastAsia" w:cs="仿宋" w:hint="eastAsia"/>
                <w:b/>
                <w:sz w:val="22"/>
                <w14:ligatures w14:val="standardContextual"/>
              </w:rPr>
              <w:t>管理费率（年费率）</w:t>
            </w:r>
          </w:p>
        </w:tc>
      </w:tr>
      <w:tr w:rsidR="00595296" w:rsidRPr="006F4D70" w14:paraId="04E24209" w14:textId="77777777">
        <w:trPr>
          <w:trHeight w:val="491"/>
          <w:jc w:val="center"/>
        </w:trPr>
        <w:tc>
          <w:tcPr>
            <w:tcW w:w="3827" w:type="dxa"/>
            <w:vAlign w:val="center"/>
          </w:tcPr>
          <w:p w14:paraId="472792A3" w14:textId="77777777" w:rsidR="00595296" w:rsidRPr="006F4D70" w:rsidRDefault="002B7F4D">
            <w:pPr>
              <w:spacing w:line="276" w:lineRule="auto"/>
              <w:ind w:firstLineChars="0" w:firstLine="0"/>
              <w:jc w:val="center"/>
              <w:rPr>
                <w:rFonts w:asciiTheme="minorEastAsia" w:eastAsiaTheme="minorEastAsia" w:hAnsiTheme="minorEastAsia" w:cs="仿宋"/>
                <w:b/>
                <w:sz w:val="22"/>
                <w14:ligatures w14:val="standardContextual"/>
              </w:rPr>
            </w:pPr>
            <w:r w:rsidRPr="006F4D70">
              <w:rPr>
                <w:rFonts w:asciiTheme="minorEastAsia" w:eastAsiaTheme="minorEastAsia" w:hAnsiTheme="minorEastAsia" w:cs="仿宋" w:hint="eastAsia"/>
                <w:bCs/>
                <w:sz w:val="22"/>
              </w:rPr>
              <w:lastRenderedPageBreak/>
              <w:t>R＞R</w:t>
            </w:r>
            <w:r w:rsidRPr="006F4D70">
              <w:rPr>
                <w:rFonts w:asciiTheme="minorEastAsia" w:eastAsiaTheme="minorEastAsia" w:hAnsiTheme="minorEastAsia" w:cs="仿宋" w:hint="eastAsia"/>
                <w:spacing w:val="-2"/>
                <w:sz w:val="22"/>
                <w:vertAlign w:val="subscript"/>
              </w:rPr>
              <w:t>b</w:t>
            </w:r>
            <w:r w:rsidRPr="006F4D70">
              <w:rPr>
                <w:rFonts w:asciiTheme="minorEastAsia" w:eastAsiaTheme="minorEastAsia" w:hAnsiTheme="minorEastAsia" w:cs="仿宋" w:hint="eastAsia"/>
                <w:bCs/>
                <w:sz w:val="22"/>
              </w:rPr>
              <w:t>+6%，R＞0</w:t>
            </w:r>
          </w:p>
        </w:tc>
        <w:tc>
          <w:tcPr>
            <w:tcW w:w="2831" w:type="dxa"/>
            <w:vAlign w:val="center"/>
          </w:tcPr>
          <w:p w14:paraId="54315DA4" w14:textId="77777777" w:rsidR="00595296" w:rsidRPr="006F4D70" w:rsidRDefault="002B7F4D">
            <w:pPr>
              <w:spacing w:line="276" w:lineRule="auto"/>
              <w:ind w:firstLineChars="0" w:firstLine="0"/>
              <w:jc w:val="center"/>
              <w:rPr>
                <w:rFonts w:asciiTheme="minorEastAsia" w:eastAsiaTheme="minorEastAsia" w:hAnsiTheme="minorEastAsia" w:cs="仿宋"/>
                <w:kern w:val="0"/>
                <w:sz w:val="22"/>
                <w14:ligatures w14:val="standardContextual"/>
              </w:rPr>
            </w:pPr>
            <w:r w:rsidRPr="006F4D70">
              <w:rPr>
                <w:rFonts w:asciiTheme="minorEastAsia" w:eastAsiaTheme="minorEastAsia" w:hAnsiTheme="minorEastAsia" w:cs="仿宋" w:hint="eastAsia"/>
                <w:kern w:val="0"/>
                <w:sz w:val="22"/>
                <w14:ligatures w14:val="standardContextual"/>
              </w:rPr>
              <w:t>1.50%/</w:t>
            </w:r>
            <w:r w:rsidRPr="006F4D70">
              <w:rPr>
                <w:rFonts w:asciiTheme="minorEastAsia" w:eastAsiaTheme="minorEastAsia" w:hAnsiTheme="minorEastAsia" w:cs="仿宋" w:hint="eastAsia"/>
                <w:bCs/>
                <w:kern w:val="0"/>
                <w:sz w:val="22"/>
                <w14:ligatures w14:val="standardContextual"/>
              </w:rPr>
              <w:t>年</w:t>
            </w:r>
          </w:p>
        </w:tc>
      </w:tr>
      <w:tr w:rsidR="00595296" w:rsidRPr="006F4D70" w14:paraId="0681731F" w14:textId="77777777">
        <w:trPr>
          <w:trHeight w:val="510"/>
          <w:jc w:val="center"/>
        </w:trPr>
        <w:tc>
          <w:tcPr>
            <w:tcW w:w="3827" w:type="dxa"/>
            <w:vAlign w:val="center"/>
          </w:tcPr>
          <w:p w14:paraId="770C047F" w14:textId="77777777" w:rsidR="00595296" w:rsidRPr="006F4D70" w:rsidRDefault="002B7F4D">
            <w:pPr>
              <w:spacing w:line="276" w:lineRule="auto"/>
              <w:ind w:firstLineChars="0" w:firstLine="0"/>
              <w:jc w:val="center"/>
              <w:rPr>
                <w:rFonts w:asciiTheme="minorEastAsia" w:eastAsiaTheme="minorEastAsia" w:hAnsiTheme="minorEastAsia" w:cs="仿宋"/>
                <w:bCs/>
                <w:sz w:val="22"/>
                <w14:ligatures w14:val="standardContextual"/>
              </w:rPr>
            </w:pPr>
            <w:r w:rsidRPr="006F4D70">
              <w:rPr>
                <w:rFonts w:asciiTheme="minorEastAsia" w:eastAsiaTheme="minorEastAsia" w:hAnsiTheme="minorEastAsia" w:cs="仿宋" w:hint="eastAsia"/>
                <w:bCs/>
                <w:sz w:val="22"/>
              </w:rPr>
              <w:t>R≤R</w:t>
            </w:r>
            <w:r w:rsidRPr="006F4D70">
              <w:rPr>
                <w:rFonts w:asciiTheme="minorEastAsia" w:eastAsiaTheme="minorEastAsia" w:hAnsiTheme="minorEastAsia" w:cs="仿宋" w:hint="eastAsia"/>
                <w:spacing w:val="-2"/>
                <w:sz w:val="22"/>
                <w:vertAlign w:val="subscript"/>
              </w:rPr>
              <w:t>b</w:t>
            </w:r>
            <w:r w:rsidRPr="006F4D70">
              <w:rPr>
                <w:rFonts w:asciiTheme="minorEastAsia" w:eastAsiaTheme="minorEastAsia" w:hAnsiTheme="minorEastAsia" w:cs="仿宋" w:hint="eastAsia"/>
                <w:bCs/>
                <w:sz w:val="22"/>
              </w:rPr>
              <w:t>-3%</w:t>
            </w:r>
          </w:p>
        </w:tc>
        <w:tc>
          <w:tcPr>
            <w:tcW w:w="2831" w:type="dxa"/>
            <w:vAlign w:val="center"/>
          </w:tcPr>
          <w:p w14:paraId="231562F1" w14:textId="77777777" w:rsidR="00595296" w:rsidRPr="006F4D70" w:rsidRDefault="002B7F4D">
            <w:pPr>
              <w:spacing w:line="276" w:lineRule="auto"/>
              <w:ind w:firstLineChars="0" w:firstLine="0"/>
              <w:jc w:val="center"/>
              <w:rPr>
                <w:rFonts w:asciiTheme="minorEastAsia" w:eastAsiaTheme="minorEastAsia" w:hAnsiTheme="minorEastAsia" w:cs="仿宋"/>
                <w:kern w:val="0"/>
                <w:sz w:val="22"/>
                <w14:ligatures w14:val="standardContextual"/>
              </w:rPr>
            </w:pPr>
            <w:r w:rsidRPr="006F4D70">
              <w:rPr>
                <w:rFonts w:asciiTheme="minorEastAsia" w:eastAsiaTheme="minorEastAsia" w:hAnsiTheme="minorEastAsia" w:cs="仿宋" w:hint="eastAsia"/>
                <w:kern w:val="0"/>
                <w:sz w:val="22"/>
                <w14:ligatures w14:val="standardContextual"/>
              </w:rPr>
              <w:t>0.60%/</w:t>
            </w:r>
            <w:r w:rsidRPr="006F4D70">
              <w:rPr>
                <w:rFonts w:asciiTheme="minorEastAsia" w:eastAsiaTheme="minorEastAsia" w:hAnsiTheme="minorEastAsia" w:cs="仿宋" w:hint="eastAsia"/>
                <w:bCs/>
                <w:kern w:val="0"/>
                <w:sz w:val="22"/>
                <w14:ligatures w14:val="standardContextual"/>
              </w:rPr>
              <w:t>年</w:t>
            </w:r>
          </w:p>
        </w:tc>
      </w:tr>
      <w:tr w:rsidR="00595296" w:rsidRPr="006F4D70" w14:paraId="0148A0A4" w14:textId="77777777">
        <w:trPr>
          <w:trHeight w:val="510"/>
          <w:jc w:val="center"/>
        </w:trPr>
        <w:tc>
          <w:tcPr>
            <w:tcW w:w="3827" w:type="dxa"/>
            <w:vAlign w:val="center"/>
          </w:tcPr>
          <w:p w14:paraId="2F2A2F40" w14:textId="77777777" w:rsidR="00595296" w:rsidRPr="006F4D70" w:rsidRDefault="002B7F4D">
            <w:pPr>
              <w:spacing w:line="276" w:lineRule="auto"/>
              <w:ind w:firstLineChars="0" w:firstLine="0"/>
              <w:jc w:val="center"/>
              <w:rPr>
                <w:rFonts w:asciiTheme="minorEastAsia" w:eastAsiaTheme="minorEastAsia" w:hAnsiTheme="minorEastAsia" w:cs="仿宋"/>
                <w:bCs/>
                <w:sz w:val="22"/>
                <w14:ligatures w14:val="standardContextual"/>
              </w:rPr>
            </w:pPr>
            <w:r w:rsidRPr="006F4D70">
              <w:rPr>
                <w:rFonts w:asciiTheme="minorEastAsia" w:eastAsiaTheme="minorEastAsia" w:hAnsiTheme="minorEastAsia" w:cs="仿宋" w:hint="eastAsia"/>
                <w:bCs/>
                <w:sz w:val="22"/>
                <w14:ligatures w14:val="standardContextual"/>
              </w:rPr>
              <w:t>其他情形</w:t>
            </w:r>
          </w:p>
        </w:tc>
        <w:tc>
          <w:tcPr>
            <w:tcW w:w="2831" w:type="dxa"/>
            <w:vAlign w:val="center"/>
          </w:tcPr>
          <w:p w14:paraId="00636C91" w14:textId="77777777" w:rsidR="00595296" w:rsidRPr="006F4D70" w:rsidRDefault="002B7F4D">
            <w:pPr>
              <w:spacing w:line="276" w:lineRule="auto"/>
              <w:ind w:firstLineChars="0" w:firstLine="0"/>
              <w:jc w:val="center"/>
              <w:rPr>
                <w:rFonts w:asciiTheme="minorEastAsia" w:eastAsiaTheme="minorEastAsia" w:hAnsiTheme="minorEastAsia" w:cs="仿宋"/>
                <w:kern w:val="0"/>
                <w:sz w:val="22"/>
                <w14:ligatures w14:val="standardContextual"/>
              </w:rPr>
            </w:pPr>
            <w:r w:rsidRPr="006F4D70">
              <w:rPr>
                <w:rFonts w:asciiTheme="minorEastAsia" w:eastAsiaTheme="minorEastAsia" w:hAnsiTheme="minorEastAsia" w:cs="仿宋" w:hint="eastAsia"/>
                <w:kern w:val="0"/>
                <w:sz w:val="22"/>
                <w14:ligatures w14:val="standardContextual"/>
              </w:rPr>
              <w:t>1.20%/</w:t>
            </w:r>
            <w:r w:rsidRPr="006F4D70">
              <w:rPr>
                <w:rFonts w:asciiTheme="minorEastAsia" w:eastAsiaTheme="minorEastAsia" w:hAnsiTheme="minorEastAsia" w:cs="仿宋" w:hint="eastAsia"/>
                <w:bCs/>
                <w:kern w:val="0"/>
                <w:sz w:val="22"/>
                <w14:ligatures w14:val="standardContextual"/>
              </w:rPr>
              <w:t>年</w:t>
            </w:r>
          </w:p>
        </w:tc>
      </w:tr>
    </w:tbl>
    <w:bookmarkEnd w:id="228"/>
    <w:p w14:paraId="5A475C44"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注：①R为该笔基金份额的年化收益率，R</w:t>
      </w:r>
      <w:r w:rsidRPr="006F4D70">
        <w:rPr>
          <w:rFonts w:asciiTheme="minorEastAsia" w:eastAsiaTheme="minorEastAsia" w:hAnsiTheme="minorEastAsia" w:cs="仿宋" w:hint="eastAsia"/>
          <w:bCs/>
          <w:szCs w:val="24"/>
          <w:vertAlign w:val="subscript"/>
          <w14:ligatures w14:val="standardContextual"/>
        </w:rPr>
        <w:t>b</w:t>
      </w:r>
      <w:r w:rsidRPr="006F4D70">
        <w:rPr>
          <w:rFonts w:asciiTheme="minorEastAsia" w:eastAsiaTheme="minorEastAsia" w:hAnsiTheme="minorEastAsia" w:cs="仿宋" w:hint="eastAsia"/>
          <w:bCs/>
          <w:szCs w:val="24"/>
          <w14:ligatures w14:val="standardContextual"/>
        </w:rPr>
        <w:t>为本基金业绩比较基准同期年化收益率。</w:t>
      </w:r>
    </w:p>
    <w:p w14:paraId="7EAB76C0" w14:textId="2EEB3656"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②特别的，当持有期限达到一年及以上，R＞R</w:t>
      </w:r>
      <w:r w:rsidRPr="006F4D70">
        <w:rPr>
          <w:rFonts w:asciiTheme="minorEastAsia" w:eastAsiaTheme="minorEastAsia" w:hAnsiTheme="minorEastAsia" w:cs="仿宋" w:hint="eastAsia"/>
          <w:bCs/>
          <w:szCs w:val="24"/>
          <w:vertAlign w:val="subscript"/>
          <w14:ligatures w14:val="standardContextual"/>
        </w:rPr>
        <w:t>b</w:t>
      </w:r>
      <w:r w:rsidRPr="006F4D70">
        <w:rPr>
          <w:rFonts w:asciiTheme="minorEastAsia" w:eastAsiaTheme="minorEastAsia" w:hAnsiTheme="minorEastAsia" w:cs="仿宋" w:hint="eastAsia"/>
          <w:bCs/>
          <w:szCs w:val="24"/>
          <w14:ligatures w14:val="standardContextual"/>
        </w:rPr>
        <w:t>+6%且R＞0的情形下，若拟扣除超额管理费后的年化收益率小于等于R</w:t>
      </w:r>
      <w:r w:rsidRPr="006F4D70">
        <w:rPr>
          <w:rFonts w:asciiTheme="minorEastAsia" w:eastAsiaTheme="minorEastAsia" w:hAnsiTheme="minorEastAsia" w:cs="仿宋" w:hint="eastAsia"/>
          <w:bCs/>
          <w:szCs w:val="24"/>
          <w:vertAlign w:val="subscript"/>
          <w14:ligatures w14:val="standardContextual"/>
        </w:rPr>
        <w:t>b</w:t>
      </w:r>
      <w:r w:rsidRPr="006F4D70">
        <w:rPr>
          <w:rFonts w:asciiTheme="minorEastAsia" w:eastAsiaTheme="minorEastAsia" w:hAnsiTheme="minorEastAsia" w:cs="仿宋" w:hint="eastAsia"/>
          <w:bCs/>
          <w:szCs w:val="24"/>
          <w14:ligatures w14:val="standardContextual"/>
        </w:rPr>
        <w:t>+6%，或小于等于0时，仍按1.20%年费率收取该笔基金份额的管理费，以使得该笔基金份额在扣除超额管理费后的年化收益率仍满足本基金收取超额管理费的标准。</w:t>
      </w:r>
    </w:p>
    <w:bookmarkEnd w:id="226"/>
    <w:p w14:paraId="12F7A54E"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具体而言，本基金的管理费包含固定管理费、或有管理费和超额管理费，按以下方式计算和确认。</w:t>
      </w:r>
    </w:p>
    <w:p w14:paraId="418D570F"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（1）固定管理费</w:t>
      </w:r>
    </w:p>
    <w:p w14:paraId="6651BD5A"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固定管理费按前一日基金资产净值的0.60%年费率每日计提。固定管理费的计算方法如下：</w:t>
      </w:r>
    </w:p>
    <w:p w14:paraId="68DA1CE7"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H</w:t>
      </w:r>
      <w:r w:rsidRPr="006F4D70">
        <w:rPr>
          <w:rFonts w:asciiTheme="minorEastAsia" w:eastAsiaTheme="minorEastAsia" w:hAnsiTheme="minorEastAsia" w:cs="仿宋" w:hint="eastAsia"/>
          <w:bCs/>
          <w:szCs w:val="24"/>
          <w:vertAlign w:val="subscript"/>
          <w14:ligatures w14:val="standardContextual"/>
        </w:rPr>
        <w:t>1</w:t>
      </w:r>
      <w:r w:rsidRPr="006F4D70">
        <w:rPr>
          <w:rFonts w:asciiTheme="minorEastAsia" w:eastAsiaTheme="minorEastAsia" w:hAnsiTheme="minorEastAsia" w:cs="仿宋" w:hint="eastAsia"/>
          <w:bCs/>
          <w:szCs w:val="24"/>
          <w14:ligatures w14:val="standardContextual"/>
        </w:rPr>
        <w:t>＝E×0.60%÷当年天数</w:t>
      </w:r>
    </w:p>
    <w:p w14:paraId="1293C9C0"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H</w:t>
      </w:r>
      <w:r w:rsidRPr="006F4D70">
        <w:rPr>
          <w:rFonts w:asciiTheme="minorEastAsia" w:eastAsiaTheme="minorEastAsia" w:hAnsiTheme="minorEastAsia" w:cs="仿宋" w:hint="eastAsia"/>
          <w:bCs/>
          <w:szCs w:val="24"/>
          <w:vertAlign w:val="subscript"/>
          <w14:ligatures w14:val="standardContextual"/>
        </w:rPr>
        <w:t>1</w:t>
      </w:r>
      <w:r w:rsidRPr="006F4D70">
        <w:rPr>
          <w:rFonts w:asciiTheme="minorEastAsia" w:eastAsiaTheme="minorEastAsia" w:hAnsiTheme="minorEastAsia" w:cs="仿宋" w:hint="eastAsia"/>
          <w:bCs/>
          <w:szCs w:val="24"/>
          <w14:ligatures w14:val="standardContextual"/>
        </w:rPr>
        <w:t>为每日应计提的固定管理费</w:t>
      </w:r>
    </w:p>
    <w:p w14:paraId="4AAF7994"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E为前一日的基金资产净值</w:t>
      </w:r>
    </w:p>
    <w:p w14:paraId="48D810C3" w14:textId="1090498D"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w:t>
      </w:r>
      <w:r w:rsidR="0046130F" w:rsidRPr="006F4D70">
        <w:rPr>
          <w:rFonts w:asciiTheme="minorEastAsia" w:eastAsiaTheme="minorEastAsia" w:hAnsiTheme="minorEastAsia" w:cs="宋体" w:hint="eastAsia"/>
          <w:kern w:val="0"/>
        </w:rPr>
        <w:t>若遇法定节假日、休息日或不可抗力等致使无法按时支付</w:t>
      </w:r>
      <w:r w:rsidR="00AF16BF" w:rsidRPr="006F4D70">
        <w:rPr>
          <w:rFonts w:asciiTheme="minorEastAsia" w:eastAsiaTheme="minorEastAsia" w:hAnsiTheme="minorEastAsia" w:cs="宋体" w:hint="eastAsia"/>
          <w:kern w:val="0"/>
        </w:rPr>
        <w:t>的</w:t>
      </w:r>
      <w:r w:rsidR="0046130F" w:rsidRPr="006F4D70">
        <w:rPr>
          <w:rFonts w:asciiTheme="minorEastAsia" w:eastAsiaTheme="minorEastAsia" w:hAnsiTheme="minorEastAsia" w:cs="宋体" w:hint="eastAsia"/>
          <w:kern w:val="0"/>
        </w:rPr>
        <w:t>，</w:t>
      </w:r>
      <w:r w:rsidR="00F70F35" w:rsidRPr="006F4D70">
        <w:rPr>
          <w:rFonts w:asciiTheme="minorEastAsia" w:eastAsiaTheme="minorEastAsia" w:hAnsiTheme="minorEastAsia" w:cs="宋体"/>
          <w:kern w:val="0"/>
          <w:szCs w:val="24"/>
        </w:rPr>
        <w:t>顺延至最近可支付日支付</w:t>
      </w:r>
      <w:r w:rsidR="0046130F" w:rsidRPr="006F4D70">
        <w:rPr>
          <w:rFonts w:asciiTheme="minorEastAsia" w:eastAsiaTheme="minorEastAsia" w:hAnsiTheme="minorEastAsia" w:cs="宋体" w:hint="eastAsia"/>
          <w:kern w:val="0"/>
        </w:rPr>
        <w:t>。</w:t>
      </w:r>
      <w:r w:rsidRPr="006F4D70">
        <w:rPr>
          <w:rFonts w:asciiTheme="minorEastAsia" w:eastAsiaTheme="minorEastAsia" w:hAnsiTheme="minorEastAsia" w:cs="仿宋" w:hint="eastAsia"/>
          <w:bCs/>
          <w:szCs w:val="24"/>
          <w14:ligatures w14:val="standardContextual"/>
        </w:rPr>
        <w:t>费用自动扣划后，基金管理人应进行核对，如发现数据不符，及时联系基金托管人协商解决。</w:t>
      </w:r>
    </w:p>
    <w:p w14:paraId="2407D532"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（2）或有管理费和超额管理费</w:t>
      </w:r>
    </w:p>
    <w:p w14:paraId="5B8A9629" w14:textId="77777777" w:rsidR="00595296" w:rsidRPr="006F4D70" w:rsidRDefault="002B7F4D">
      <w:pPr>
        <w:spacing w:line="300" w:lineRule="auto"/>
        <w:ind w:firstLineChars="0"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或有管理费按前一日基金资产净值的0.60%年费率每日计提。或有管理费的计算方法如下：</w:t>
      </w:r>
    </w:p>
    <w:p w14:paraId="6EAF892B"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H</w:t>
      </w:r>
      <w:r w:rsidRPr="006F4D70">
        <w:rPr>
          <w:rFonts w:asciiTheme="minorEastAsia" w:eastAsiaTheme="minorEastAsia" w:hAnsiTheme="minorEastAsia" w:cs="仿宋" w:hint="eastAsia"/>
          <w:bCs/>
          <w:szCs w:val="24"/>
          <w:vertAlign w:val="subscript"/>
          <w14:ligatures w14:val="standardContextual"/>
        </w:rPr>
        <w:t>2</w:t>
      </w:r>
      <w:r w:rsidRPr="006F4D70">
        <w:rPr>
          <w:rFonts w:asciiTheme="minorEastAsia" w:eastAsiaTheme="minorEastAsia" w:hAnsiTheme="minorEastAsia" w:cs="仿宋" w:hint="eastAsia"/>
          <w:bCs/>
          <w:szCs w:val="24"/>
          <w14:ligatures w14:val="standardContextual"/>
        </w:rPr>
        <w:t>＝E×0.60%÷当年天数</w:t>
      </w:r>
    </w:p>
    <w:p w14:paraId="5F2E3480"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H</w:t>
      </w:r>
      <w:r w:rsidRPr="006F4D70">
        <w:rPr>
          <w:rFonts w:asciiTheme="minorEastAsia" w:eastAsiaTheme="minorEastAsia" w:hAnsiTheme="minorEastAsia" w:cs="仿宋" w:hint="eastAsia"/>
          <w:bCs/>
          <w:szCs w:val="24"/>
          <w:vertAlign w:val="subscript"/>
          <w14:ligatures w14:val="standardContextual"/>
        </w:rPr>
        <w:t>2</w:t>
      </w:r>
      <w:r w:rsidRPr="006F4D70">
        <w:rPr>
          <w:rFonts w:asciiTheme="minorEastAsia" w:eastAsiaTheme="minorEastAsia" w:hAnsiTheme="minorEastAsia" w:cs="仿宋" w:hint="eastAsia"/>
          <w:bCs/>
          <w:szCs w:val="24"/>
          <w14:ligatures w14:val="standardContextual"/>
        </w:rPr>
        <w:t>为每日应计提的或有管理费</w:t>
      </w:r>
    </w:p>
    <w:p w14:paraId="0AA0F256"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E为前一日的基金资产净值</w:t>
      </w:r>
    </w:p>
    <w:p w14:paraId="5B7D8CEE" w14:textId="3DEC93FF" w:rsidR="00595296" w:rsidRPr="009B2675" w:rsidRDefault="00EF2A18">
      <w:pPr>
        <w:ind w:firstLine="480"/>
        <w:rPr>
          <w:rFonts w:asciiTheme="minorEastAsia" w:eastAsiaTheme="minorEastAsia" w:hAnsiTheme="minorEastAsia" w:cs="仿宋"/>
          <w:bCs/>
          <w:szCs w:val="24"/>
          <w14:ligatures w14:val="standardContextual"/>
        </w:rPr>
      </w:pPr>
      <w:r w:rsidRPr="00731DCE">
        <w:rPr>
          <w:rFonts w:ascii="Times New Roman" w:hAnsi="Times New Roman" w:hint="eastAsia"/>
          <w:bCs/>
          <w14:ligatures w14:val="standardContextual"/>
        </w:rPr>
        <w:lastRenderedPageBreak/>
        <w:t>投资者赎回、转出基金份额或基金合同终止的情形发生时，</w:t>
      </w:r>
      <w:r>
        <w:rPr>
          <w:rFonts w:ascii="Times New Roman" w:hAnsi="Times New Roman" w:hint="eastAsia"/>
          <w:bCs/>
          <w14:ligatures w14:val="standardContextual"/>
        </w:rPr>
        <w:t>若该笔基金份额持有天数达到或超过</w:t>
      </w:r>
      <w:r>
        <w:rPr>
          <w:rFonts w:ascii="Times New Roman" w:hAnsi="Times New Roman" w:hint="eastAsia"/>
          <w:bCs/>
          <w14:ligatures w14:val="standardContextual"/>
        </w:rPr>
        <w:t>36</w:t>
      </w:r>
      <w:r w:rsidRPr="009B2675">
        <w:rPr>
          <w:rFonts w:ascii="Times New Roman" w:hAnsi="Times New Roman" w:hint="eastAsia"/>
          <w:bCs/>
          <w14:ligatures w14:val="standardContextual"/>
        </w:rPr>
        <w:t>5</w:t>
      </w:r>
      <w:r w:rsidRPr="009B2675">
        <w:rPr>
          <w:rFonts w:ascii="Times New Roman" w:hAnsi="Times New Roman" w:hint="eastAsia"/>
          <w:bCs/>
          <w14:ligatures w14:val="standardContextual"/>
        </w:rPr>
        <w:t>天，</w:t>
      </w:r>
      <w:bookmarkStart w:id="229" w:name="_Hlk198193103"/>
      <w:r w:rsidRPr="009B2675">
        <w:rPr>
          <w:rFonts w:ascii="Times New Roman" w:hAnsi="Times New Roman" w:hint="eastAsia"/>
          <w:bCs/>
          <w14:ligatures w14:val="standardContextual"/>
        </w:rPr>
        <w:t>且该笔基金份额的</w:t>
      </w:r>
      <w:bookmarkStart w:id="230" w:name="_Hlk198193114"/>
      <w:r w:rsidR="00317A02" w:rsidRPr="009B2675">
        <w:rPr>
          <w:rFonts w:ascii="Times New Roman" w:hAnsi="Times New Roman" w:hint="eastAsia"/>
          <w:bCs/>
          <w14:ligatures w14:val="standardContextual"/>
        </w:rPr>
        <w:t>年化</w:t>
      </w:r>
      <w:r w:rsidRPr="009B2675">
        <w:rPr>
          <w:rFonts w:ascii="Times New Roman" w:hAnsi="Times New Roman" w:hint="eastAsia"/>
          <w:bCs/>
          <w14:ligatures w14:val="standardContextual"/>
        </w:rPr>
        <w:t>收益率</w:t>
      </w:r>
      <w:bookmarkEnd w:id="230"/>
      <w:r w:rsidR="00EE3351" w:rsidRPr="009B2675">
        <w:rPr>
          <w:rFonts w:asciiTheme="minorEastAsia" w:eastAsiaTheme="minorEastAsia" w:hAnsiTheme="minorEastAsia" w:cs="仿宋" w:hint="eastAsia"/>
          <w:bCs/>
          <w:szCs w:val="24"/>
          <w14:ligatures w14:val="standardContextual"/>
        </w:rPr>
        <w:t>（</w:t>
      </w:r>
      <w:r w:rsidR="00EE3351" w:rsidRPr="009B2675">
        <w:rPr>
          <w:rFonts w:asciiTheme="minorEastAsia" w:eastAsiaTheme="minorEastAsia" w:hAnsiTheme="minorEastAsia" w:cs="仿宋"/>
          <w:bCs/>
          <w:szCs w:val="24"/>
          <w14:ligatures w14:val="standardContextual"/>
        </w:rPr>
        <w:t>R</w:t>
      </w:r>
      <w:r w:rsidR="00EE3351" w:rsidRPr="009B2675">
        <w:rPr>
          <w:rFonts w:asciiTheme="minorEastAsia" w:eastAsiaTheme="minorEastAsia" w:hAnsiTheme="minorEastAsia" w:cs="仿宋" w:hint="eastAsia"/>
          <w:bCs/>
          <w:szCs w:val="24"/>
          <w14:ligatures w14:val="standardContextual"/>
        </w:rPr>
        <w:t>）</w:t>
      </w:r>
      <w:r w:rsidRPr="009B2675">
        <w:rPr>
          <w:rFonts w:ascii="Times New Roman" w:hAnsi="Times New Roman" w:hint="eastAsia"/>
          <w:bCs/>
          <w14:ligatures w14:val="standardContextual"/>
        </w:rPr>
        <w:t>符合下表“情形一”的收取情形，或有管理费为</w:t>
      </w:r>
      <w:r w:rsidRPr="009B2675">
        <w:rPr>
          <w:rFonts w:ascii="Times New Roman" w:hAnsi="Times New Roman" w:hint="eastAsia"/>
          <w:bCs/>
          <w14:ligatures w14:val="standardContextual"/>
        </w:rPr>
        <w:t>0</w:t>
      </w:r>
      <w:r w:rsidRPr="009B2675">
        <w:rPr>
          <w:rFonts w:ascii="Times New Roman" w:hAnsi="Times New Roman" w:hint="eastAsia"/>
          <w:bCs/>
          <w14:ligatures w14:val="standardContextual"/>
        </w:rPr>
        <w:t>，则该笔基金份额持有期</w:t>
      </w:r>
      <w:r w:rsidR="00317A02" w:rsidRPr="009B2675">
        <w:rPr>
          <w:rFonts w:asciiTheme="minorEastAsia" w:eastAsiaTheme="minorEastAsia" w:hAnsiTheme="minorEastAsia" w:cs="仿宋" w:hint="eastAsia"/>
          <w:bCs/>
          <w:szCs w:val="24"/>
          <w14:ligatures w14:val="standardContextual"/>
        </w:rPr>
        <w:t>限</w:t>
      </w:r>
      <w:r w:rsidRPr="009B2675">
        <w:rPr>
          <w:rFonts w:ascii="Times New Roman" w:hAnsi="Times New Roman" w:hint="eastAsia"/>
          <w:bCs/>
          <w14:ligatures w14:val="standardContextual"/>
        </w:rPr>
        <w:t>内计提的或有管理费将全额随赎回款（或清算款）一并返还给投资者；在其他情形下，该笔基金份额持有期</w:t>
      </w:r>
      <w:r w:rsidR="00317A02" w:rsidRPr="009B2675">
        <w:rPr>
          <w:rFonts w:asciiTheme="minorEastAsia" w:eastAsiaTheme="minorEastAsia" w:hAnsiTheme="minorEastAsia" w:cs="仿宋" w:hint="eastAsia"/>
          <w:bCs/>
          <w:szCs w:val="24"/>
          <w14:ligatures w14:val="standardContextual"/>
        </w:rPr>
        <w:t>限</w:t>
      </w:r>
      <w:r w:rsidRPr="009B2675">
        <w:rPr>
          <w:rFonts w:ascii="Times New Roman" w:hAnsi="Times New Roman" w:hint="eastAsia"/>
          <w:bCs/>
          <w14:ligatures w14:val="standardContextual"/>
        </w:rPr>
        <w:t>内计提的或有管理费应确认为应由</w:t>
      </w:r>
      <w:r w:rsidR="00A63482" w:rsidRPr="009B2675">
        <w:rPr>
          <w:rFonts w:ascii="Times New Roman" w:hAnsi="Times New Roman" w:hint="eastAsia"/>
          <w:bCs/>
          <w14:ligatures w14:val="standardContextual"/>
        </w:rPr>
        <w:t>基金</w:t>
      </w:r>
      <w:r w:rsidRPr="009B2675">
        <w:rPr>
          <w:rFonts w:ascii="Times New Roman" w:hAnsi="Times New Roman" w:hint="eastAsia"/>
          <w:bCs/>
          <w14:ligatures w14:val="standardContextual"/>
        </w:rPr>
        <w:t>管理人收取的管理费</w:t>
      </w:r>
      <w:bookmarkEnd w:id="229"/>
      <w:r w:rsidRPr="009B2675">
        <w:rPr>
          <w:rFonts w:ascii="Times New Roman" w:hAnsi="Times New Roman" w:hint="eastAsia"/>
          <w:bCs/>
          <w14:ligatures w14:val="standardContextual"/>
        </w:rPr>
        <w:t>。</w:t>
      </w:r>
    </w:p>
    <w:p w14:paraId="7A946F6F" w14:textId="02C51617" w:rsidR="00595296" w:rsidRPr="009B2675" w:rsidRDefault="002B7F4D">
      <w:pPr>
        <w:ind w:firstLine="480"/>
        <w:rPr>
          <w:rFonts w:asciiTheme="minorEastAsia" w:eastAsiaTheme="minorEastAsia" w:hAnsiTheme="minorEastAsia" w:cs="仿宋"/>
          <w:bCs/>
          <w:szCs w:val="24"/>
          <w14:ligatures w14:val="standardContextual"/>
        </w:rPr>
      </w:pPr>
      <w:r w:rsidRPr="009B2675">
        <w:rPr>
          <w:rFonts w:asciiTheme="minorEastAsia" w:eastAsiaTheme="minorEastAsia" w:hAnsiTheme="minorEastAsia" w:cs="仿宋" w:hint="eastAsia"/>
          <w:bCs/>
          <w:szCs w:val="24"/>
          <w14:ligatures w14:val="standardContextual"/>
        </w:rPr>
        <w:t>本基金每日预估计算并记录每笔基金份额的超额管理费</w:t>
      </w:r>
      <w:r w:rsidR="00803FEA" w:rsidRPr="009B2675">
        <w:rPr>
          <w:rFonts w:asciiTheme="minorEastAsia" w:eastAsiaTheme="minorEastAsia" w:hAnsiTheme="minorEastAsia" w:cs="仿宋" w:hint="eastAsia"/>
          <w:bCs/>
          <w:szCs w:val="24"/>
          <w14:ligatures w14:val="standardContextual"/>
        </w:rPr>
        <w:t>。</w:t>
      </w:r>
      <w:r w:rsidRPr="009B2675">
        <w:rPr>
          <w:rFonts w:asciiTheme="minorEastAsia" w:eastAsiaTheme="minorEastAsia" w:hAnsiTheme="minorEastAsia" w:cs="仿宋" w:hint="eastAsia"/>
          <w:bCs/>
          <w:szCs w:val="24"/>
          <w14:ligatures w14:val="standardContextual"/>
        </w:rPr>
        <w:t>基金超额管理费的预估计算方法如下：</w:t>
      </w:r>
    </w:p>
    <w:p w14:paraId="2B83E186" w14:textId="77777777" w:rsidR="00595296" w:rsidRPr="009B2675" w:rsidRDefault="002B7F4D">
      <w:pPr>
        <w:ind w:firstLine="480"/>
        <w:rPr>
          <w:rFonts w:asciiTheme="minorEastAsia" w:eastAsiaTheme="minorEastAsia" w:hAnsiTheme="minorEastAsia" w:cs="仿宋"/>
          <w:bCs/>
          <w:szCs w:val="24"/>
          <w14:ligatures w14:val="standardContextual"/>
        </w:rPr>
      </w:pPr>
      <w:r w:rsidRPr="009B2675">
        <w:rPr>
          <w:rFonts w:asciiTheme="minorEastAsia" w:eastAsiaTheme="minorEastAsia" w:hAnsiTheme="minorEastAsia" w:cs="仿宋" w:hint="eastAsia"/>
          <w:bCs/>
          <w:szCs w:val="24"/>
          <w14:ligatures w14:val="standardContextual"/>
        </w:rPr>
        <w:t>H</w:t>
      </w:r>
      <w:r w:rsidRPr="009B2675">
        <w:rPr>
          <w:rFonts w:asciiTheme="minorEastAsia" w:eastAsiaTheme="minorEastAsia" w:hAnsiTheme="minorEastAsia" w:cs="仿宋" w:hint="eastAsia"/>
          <w:bCs/>
          <w:szCs w:val="24"/>
          <w:vertAlign w:val="subscript"/>
          <w14:ligatures w14:val="standardContextual"/>
        </w:rPr>
        <w:t>3</w:t>
      </w:r>
      <w:r w:rsidRPr="009B2675">
        <w:rPr>
          <w:rFonts w:asciiTheme="minorEastAsia" w:eastAsiaTheme="minorEastAsia" w:hAnsiTheme="minorEastAsia" w:cs="仿宋" w:hint="eastAsia"/>
          <w:bCs/>
          <w:szCs w:val="24"/>
          <w14:ligatures w14:val="standardContextual"/>
        </w:rPr>
        <w:t>＝E×0.30%÷当年天数</w:t>
      </w:r>
    </w:p>
    <w:p w14:paraId="7D6F903E" w14:textId="77777777" w:rsidR="00595296" w:rsidRPr="009B2675" w:rsidRDefault="002B7F4D">
      <w:pPr>
        <w:ind w:firstLine="480"/>
        <w:rPr>
          <w:rFonts w:asciiTheme="minorEastAsia" w:eastAsiaTheme="minorEastAsia" w:hAnsiTheme="minorEastAsia" w:cs="仿宋"/>
          <w:bCs/>
          <w:szCs w:val="24"/>
          <w14:ligatures w14:val="standardContextual"/>
        </w:rPr>
      </w:pPr>
      <w:r w:rsidRPr="009B2675">
        <w:rPr>
          <w:rFonts w:asciiTheme="minorEastAsia" w:eastAsiaTheme="minorEastAsia" w:hAnsiTheme="minorEastAsia" w:cs="仿宋" w:hint="eastAsia"/>
          <w:bCs/>
          <w:szCs w:val="24"/>
          <w14:ligatures w14:val="standardContextual"/>
        </w:rPr>
        <w:t>H</w:t>
      </w:r>
      <w:r w:rsidRPr="009B2675">
        <w:rPr>
          <w:rFonts w:asciiTheme="minorEastAsia" w:eastAsiaTheme="minorEastAsia" w:hAnsiTheme="minorEastAsia" w:cs="仿宋" w:hint="eastAsia"/>
          <w:bCs/>
          <w:szCs w:val="24"/>
          <w:vertAlign w:val="subscript"/>
          <w14:ligatures w14:val="standardContextual"/>
        </w:rPr>
        <w:t>3</w:t>
      </w:r>
      <w:r w:rsidRPr="009B2675">
        <w:rPr>
          <w:rFonts w:asciiTheme="minorEastAsia" w:eastAsiaTheme="minorEastAsia" w:hAnsiTheme="minorEastAsia" w:cs="仿宋" w:hint="eastAsia"/>
          <w:bCs/>
          <w:szCs w:val="24"/>
          <w14:ligatures w14:val="standardContextual"/>
        </w:rPr>
        <w:t>为每日预估计算的基金超额管理费</w:t>
      </w:r>
    </w:p>
    <w:p w14:paraId="3BFD8E10" w14:textId="77777777" w:rsidR="00595296" w:rsidRPr="009B2675" w:rsidRDefault="002B7F4D">
      <w:pPr>
        <w:ind w:firstLine="480"/>
        <w:rPr>
          <w:rFonts w:asciiTheme="minorEastAsia" w:eastAsiaTheme="minorEastAsia" w:hAnsiTheme="minorEastAsia" w:cs="仿宋"/>
          <w:bCs/>
          <w:szCs w:val="24"/>
          <w14:ligatures w14:val="standardContextual"/>
        </w:rPr>
      </w:pPr>
      <w:r w:rsidRPr="009B2675">
        <w:rPr>
          <w:rFonts w:asciiTheme="minorEastAsia" w:eastAsiaTheme="minorEastAsia" w:hAnsiTheme="minorEastAsia" w:cs="仿宋" w:hint="eastAsia"/>
          <w:bCs/>
          <w:szCs w:val="24"/>
          <w14:ligatures w14:val="standardContextual"/>
        </w:rPr>
        <w:t>E为前一日的基金资产净值</w:t>
      </w:r>
    </w:p>
    <w:p w14:paraId="093FD940" w14:textId="37F66558" w:rsidR="00595296" w:rsidRPr="006F4D70" w:rsidRDefault="002B7F4D">
      <w:pPr>
        <w:ind w:firstLine="480"/>
        <w:rPr>
          <w:rFonts w:asciiTheme="minorEastAsia" w:eastAsiaTheme="minorEastAsia" w:hAnsiTheme="minorEastAsia" w:cs="仿宋"/>
          <w:bCs/>
          <w:szCs w:val="24"/>
          <w14:ligatures w14:val="standardContextual"/>
        </w:rPr>
      </w:pPr>
      <w:r w:rsidRPr="009B2675">
        <w:rPr>
          <w:rFonts w:asciiTheme="minorEastAsia" w:eastAsiaTheme="minorEastAsia" w:hAnsiTheme="minorEastAsia" w:cs="仿宋" w:hint="eastAsia"/>
          <w:bCs/>
          <w:szCs w:val="24"/>
          <w14:ligatures w14:val="standardContextual"/>
        </w:rPr>
        <w:t>每笔基金份额的超额管理费每日预估计算，但不从基金资产中实际计提，逐日累计。</w:t>
      </w:r>
      <w:r w:rsidR="009B41B1" w:rsidRPr="009B2675">
        <w:rPr>
          <w:rFonts w:ascii="Times New Roman" w:hAnsi="Times New Roman" w:hint="eastAsia"/>
          <w:bCs/>
          <w14:ligatures w14:val="standardContextual"/>
        </w:rPr>
        <w:t>投资者赎回、转出基金份额或基金合同终止的情形发生时，</w:t>
      </w:r>
      <w:r w:rsidRPr="009B2675">
        <w:rPr>
          <w:rFonts w:asciiTheme="minorEastAsia" w:eastAsiaTheme="minorEastAsia" w:hAnsiTheme="minorEastAsia" w:cs="仿宋" w:hint="eastAsia"/>
          <w:bCs/>
          <w:szCs w:val="24"/>
          <w14:ligatures w14:val="standardContextual"/>
        </w:rPr>
        <w:t>当且仅当该笔基金份额持有天数达到或超过365天，且该笔基金份额的年化收益率（</w:t>
      </w:r>
      <w:r w:rsidRPr="009B2675">
        <w:rPr>
          <w:rFonts w:asciiTheme="minorEastAsia" w:eastAsiaTheme="minorEastAsia" w:hAnsiTheme="minorEastAsia" w:cs="仿宋"/>
          <w:bCs/>
          <w:szCs w:val="24"/>
          <w14:ligatures w14:val="standardContextual"/>
        </w:rPr>
        <w:t>R）</w:t>
      </w:r>
      <w:r w:rsidRPr="009B2675">
        <w:rPr>
          <w:rFonts w:asciiTheme="minorEastAsia" w:eastAsiaTheme="minorEastAsia" w:hAnsiTheme="minorEastAsia" w:cs="仿宋" w:hint="eastAsia"/>
          <w:bCs/>
          <w:szCs w:val="24"/>
          <w14:ligatures w14:val="standardContextual"/>
        </w:rPr>
        <w:t>符</w:t>
      </w:r>
      <w:r w:rsidRPr="006F4D70">
        <w:rPr>
          <w:rFonts w:asciiTheme="minorEastAsia" w:eastAsiaTheme="minorEastAsia" w:hAnsiTheme="minorEastAsia" w:cs="仿宋" w:hint="eastAsia"/>
          <w:bCs/>
          <w:szCs w:val="24"/>
          <w14:ligatures w14:val="standardContextual"/>
        </w:rPr>
        <w:t>合下表“情形三”的收取情形，将从该笔基金份额的赎回款（或清算款）中扣除0.30%年费率的超额管理费，并随已计提的或有管理费一同确认为应由</w:t>
      </w:r>
      <w:r w:rsidR="00880F1A" w:rsidRPr="006F4D70">
        <w:rPr>
          <w:rFonts w:asciiTheme="minorEastAsia" w:eastAsiaTheme="minorEastAsia" w:hAnsiTheme="minorEastAsia" w:cs="仿宋" w:hint="eastAsia"/>
          <w:bCs/>
          <w:szCs w:val="24"/>
          <w14:ligatures w14:val="standardContextual"/>
        </w:rPr>
        <w:t>基金</w:t>
      </w:r>
      <w:r w:rsidRPr="006F4D70">
        <w:rPr>
          <w:rFonts w:asciiTheme="minorEastAsia" w:eastAsiaTheme="minorEastAsia" w:hAnsiTheme="minorEastAsia" w:cs="仿宋" w:hint="eastAsia"/>
          <w:bCs/>
          <w:szCs w:val="24"/>
          <w14:ligatures w14:val="standardContextual"/>
        </w:rPr>
        <w:t>管理人收取的管理费。</w:t>
      </w:r>
    </w:p>
    <w:p w14:paraId="717E3321" w14:textId="57DB449A" w:rsidR="00595296" w:rsidRPr="006F4D70" w:rsidRDefault="00D94DE7">
      <w:pPr>
        <w:ind w:firstLine="480"/>
        <w:rPr>
          <w:rFonts w:asciiTheme="minorEastAsia" w:eastAsiaTheme="minorEastAsia" w:hAnsiTheme="minorEastAsia" w:cs="仿宋"/>
          <w:bCs/>
          <w:szCs w:val="24"/>
          <w14:ligatures w14:val="standardContextual"/>
        </w:rPr>
      </w:pPr>
      <w:r w:rsidRPr="001D11F4">
        <w:rPr>
          <w:rFonts w:hint="eastAsia"/>
        </w:rPr>
        <w:t>当基金份额持有天数达到或超过</w:t>
      </w:r>
      <w:r w:rsidRPr="001D11F4">
        <w:t>365</w:t>
      </w:r>
      <w:r w:rsidRPr="001D11F4">
        <w:t>天，</w:t>
      </w:r>
      <w:r w:rsidR="002B7F4D" w:rsidRPr="006F4D70">
        <w:rPr>
          <w:rFonts w:asciiTheme="minorEastAsia" w:eastAsiaTheme="minorEastAsia" w:hAnsiTheme="minorEastAsia" w:cs="仿宋" w:hint="eastAsia"/>
          <w:bCs/>
          <w:szCs w:val="24"/>
          <w14:ligatures w14:val="standardContextual"/>
        </w:rPr>
        <w:t>投资者赎回、转出基金份额或基金合同终止的情形发生时，本基金根据以下三种情形确认应实际收取的或有管理费和超额管理费：</w:t>
      </w:r>
    </w:p>
    <w:tbl>
      <w:tblPr>
        <w:tblStyle w:val="130"/>
        <w:tblW w:w="7582" w:type="dxa"/>
        <w:jc w:val="center"/>
        <w:tblInd w:w="0" w:type="dxa"/>
        <w:tblCellMar>
          <w:left w:w="108" w:type="dxa"/>
          <w:right w:w="108" w:type="dxa"/>
        </w:tblCellMar>
        <w:tblLook w:val="04A0" w:firstRow="1" w:lastRow="0" w:firstColumn="1" w:lastColumn="0" w:noHBand="0" w:noVBand="1"/>
      </w:tblPr>
      <w:tblGrid>
        <w:gridCol w:w="1247"/>
        <w:gridCol w:w="2933"/>
        <w:gridCol w:w="1701"/>
        <w:gridCol w:w="1701"/>
      </w:tblGrid>
      <w:tr w:rsidR="00595296" w:rsidRPr="006F4D70" w14:paraId="755B2364" w14:textId="77777777">
        <w:trPr>
          <w:trHeight w:val="510"/>
          <w:jc w:val="center"/>
        </w:trPr>
        <w:tc>
          <w:tcPr>
            <w:tcW w:w="1247" w:type="dxa"/>
            <w:vAlign w:val="center"/>
          </w:tcPr>
          <w:p w14:paraId="117C72C0" w14:textId="1D223FD8" w:rsidR="00595296" w:rsidRPr="006F4D70" w:rsidRDefault="00631A89">
            <w:pPr>
              <w:spacing w:line="240" w:lineRule="auto"/>
              <w:ind w:firstLineChars="0" w:firstLine="0"/>
              <w:jc w:val="center"/>
              <w:rPr>
                <w:rFonts w:asciiTheme="minorEastAsia" w:eastAsiaTheme="minorEastAsia" w:hAnsiTheme="minorEastAsia" w:cs="仿宋"/>
                <w:b/>
                <w:bCs/>
                <w:kern w:val="0"/>
                <w:sz w:val="22"/>
              </w:rPr>
            </w:pPr>
            <w:bookmarkStart w:id="231" w:name="_Hlk195865040"/>
            <w:r w:rsidRPr="00631A89">
              <w:rPr>
                <w:rFonts w:asciiTheme="minorEastAsia" w:eastAsiaTheme="minorEastAsia" w:hAnsiTheme="minorEastAsia" w:cs="仿宋" w:hint="eastAsia"/>
                <w:b/>
                <w:bCs/>
                <w:kern w:val="0"/>
                <w:sz w:val="22"/>
              </w:rPr>
              <w:t>收取情形</w:t>
            </w:r>
          </w:p>
        </w:tc>
        <w:tc>
          <w:tcPr>
            <w:tcW w:w="2933" w:type="dxa"/>
            <w:vAlign w:val="center"/>
          </w:tcPr>
          <w:p w14:paraId="6E4AE9AB" w14:textId="77777777" w:rsidR="00595296" w:rsidRPr="006F4D70" w:rsidRDefault="002B7F4D">
            <w:pPr>
              <w:spacing w:line="240" w:lineRule="auto"/>
              <w:ind w:firstLineChars="0" w:firstLine="0"/>
              <w:jc w:val="center"/>
              <w:rPr>
                <w:rFonts w:asciiTheme="minorEastAsia" w:eastAsiaTheme="minorEastAsia" w:hAnsiTheme="minorEastAsia" w:cs="仿宋"/>
                <w:b/>
                <w:bCs/>
                <w:kern w:val="0"/>
                <w:sz w:val="22"/>
              </w:rPr>
            </w:pPr>
            <w:r w:rsidRPr="006F4D70">
              <w:rPr>
                <w:rFonts w:asciiTheme="minorEastAsia" w:eastAsiaTheme="minorEastAsia" w:hAnsiTheme="minorEastAsia" w:cs="仿宋" w:hint="eastAsia"/>
                <w:b/>
                <w:bCs/>
                <w:kern w:val="0"/>
                <w:sz w:val="22"/>
              </w:rPr>
              <w:t>年化收益率（R）</w:t>
            </w:r>
          </w:p>
        </w:tc>
        <w:tc>
          <w:tcPr>
            <w:tcW w:w="1701" w:type="dxa"/>
            <w:vAlign w:val="center"/>
          </w:tcPr>
          <w:p w14:paraId="4AF32E9F" w14:textId="77777777" w:rsidR="00595296" w:rsidRPr="006F4D70" w:rsidRDefault="002B7F4D">
            <w:pPr>
              <w:spacing w:line="240" w:lineRule="auto"/>
              <w:ind w:firstLineChars="0" w:firstLine="0"/>
              <w:jc w:val="center"/>
              <w:rPr>
                <w:rFonts w:asciiTheme="minorEastAsia" w:eastAsiaTheme="minorEastAsia" w:hAnsiTheme="minorEastAsia" w:cs="仿宋"/>
                <w:b/>
                <w:bCs/>
                <w:kern w:val="0"/>
                <w:sz w:val="22"/>
              </w:rPr>
            </w:pPr>
            <w:r w:rsidRPr="006F4D70">
              <w:rPr>
                <w:rFonts w:asciiTheme="minorEastAsia" w:eastAsiaTheme="minorEastAsia" w:hAnsiTheme="minorEastAsia" w:cs="仿宋" w:hint="eastAsia"/>
                <w:b/>
                <w:bCs/>
                <w:kern w:val="0"/>
                <w:sz w:val="22"/>
              </w:rPr>
              <w:t>或有管理费</w:t>
            </w:r>
          </w:p>
          <w:p w14:paraId="6E505A02" w14:textId="77777777" w:rsidR="00595296" w:rsidRPr="006F4D70" w:rsidRDefault="002B7F4D">
            <w:pPr>
              <w:spacing w:line="240" w:lineRule="auto"/>
              <w:ind w:firstLineChars="0" w:firstLine="0"/>
              <w:jc w:val="center"/>
              <w:rPr>
                <w:rFonts w:asciiTheme="minorEastAsia" w:eastAsiaTheme="minorEastAsia" w:hAnsiTheme="minorEastAsia" w:cs="仿宋"/>
                <w:b/>
                <w:bCs/>
                <w:kern w:val="0"/>
                <w:sz w:val="22"/>
              </w:rPr>
            </w:pPr>
            <w:r w:rsidRPr="006F4D70">
              <w:rPr>
                <w:rFonts w:asciiTheme="minorEastAsia" w:eastAsiaTheme="minorEastAsia" w:hAnsiTheme="minorEastAsia" w:cs="仿宋" w:hint="eastAsia"/>
                <w:b/>
                <w:bCs/>
                <w:kern w:val="0"/>
                <w:sz w:val="22"/>
              </w:rPr>
              <w:t>（年费率）</w:t>
            </w:r>
          </w:p>
        </w:tc>
        <w:tc>
          <w:tcPr>
            <w:tcW w:w="1701" w:type="dxa"/>
            <w:vAlign w:val="center"/>
          </w:tcPr>
          <w:p w14:paraId="1B99ED2C" w14:textId="77777777" w:rsidR="00595296" w:rsidRPr="006F4D70" w:rsidRDefault="002B7F4D">
            <w:pPr>
              <w:spacing w:line="240" w:lineRule="auto"/>
              <w:ind w:firstLineChars="0" w:firstLine="0"/>
              <w:jc w:val="center"/>
              <w:rPr>
                <w:rFonts w:asciiTheme="minorEastAsia" w:eastAsiaTheme="minorEastAsia" w:hAnsiTheme="minorEastAsia" w:cs="仿宋"/>
                <w:b/>
                <w:bCs/>
                <w:kern w:val="0"/>
                <w:sz w:val="22"/>
              </w:rPr>
            </w:pPr>
            <w:r w:rsidRPr="006F4D70">
              <w:rPr>
                <w:rFonts w:asciiTheme="minorEastAsia" w:eastAsiaTheme="minorEastAsia" w:hAnsiTheme="minorEastAsia" w:cs="仿宋" w:hint="eastAsia"/>
                <w:b/>
                <w:bCs/>
                <w:kern w:val="0"/>
                <w:sz w:val="22"/>
              </w:rPr>
              <w:t>超额管理费</w:t>
            </w:r>
          </w:p>
          <w:p w14:paraId="7B2C80EE" w14:textId="77777777" w:rsidR="00595296" w:rsidRPr="006F4D70" w:rsidRDefault="002B7F4D">
            <w:pPr>
              <w:spacing w:line="240" w:lineRule="auto"/>
              <w:ind w:firstLineChars="0" w:firstLine="0"/>
              <w:jc w:val="center"/>
              <w:rPr>
                <w:rFonts w:asciiTheme="minorEastAsia" w:eastAsiaTheme="minorEastAsia" w:hAnsiTheme="minorEastAsia" w:cs="仿宋"/>
                <w:b/>
                <w:bCs/>
                <w:kern w:val="0"/>
                <w:sz w:val="22"/>
              </w:rPr>
            </w:pPr>
            <w:r w:rsidRPr="006F4D70">
              <w:rPr>
                <w:rFonts w:asciiTheme="minorEastAsia" w:eastAsiaTheme="minorEastAsia" w:hAnsiTheme="minorEastAsia" w:cs="仿宋" w:hint="eastAsia"/>
                <w:b/>
                <w:bCs/>
                <w:kern w:val="0"/>
                <w:sz w:val="22"/>
              </w:rPr>
              <w:t>（年费率）</w:t>
            </w:r>
          </w:p>
        </w:tc>
      </w:tr>
      <w:tr w:rsidR="00595296" w:rsidRPr="006F4D70" w14:paraId="4171F167" w14:textId="77777777">
        <w:trPr>
          <w:trHeight w:val="510"/>
          <w:jc w:val="center"/>
        </w:trPr>
        <w:tc>
          <w:tcPr>
            <w:tcW w:w="1247" w:type="dxa"/>
            <w:vAlign w:val="center"/>
          </w:tcPr>
          <w:p w14:paraId="4469BA20"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bCs/>
                <w:kern w:val="0"/>
                <w:sz w:val="22"/>
              </w:rPr>
              <w:t>情形</w:t>
            </w:r>
            <w:r w:rsidRPr="006F4D70">
              <w:rPr>
                <w:rFonts w:asciiTheme="minorEastAsia" w:eastAsiaTheme="minorEastAsia" w:hAnsiTheme="minorEastAsia" w:cs="仿宋" w:hint="eastAsia"/>
                <w:kern w:val="0"/>
                <w:sz w:val="22"/>
              </w:rPr>
              <w:t>一</w:t>
            </w:r>
          </w:p>
        </w:tc>
        <w:tc>
          <w:tcPr>
            <w:tcW w:w="2933" w:type="dxa"/>
            <w:vAlign w:val="center"/>
          </w:tcPr>
          <w:p w14:paraId="27162EC6" w14:textId="77777777" w:rsidR="00595296" w:rsidRPr="006F4D70" w:rsidRDefault="002B7F4D">
            <w:pPr>
              <w:spacing w:line="240" w:lineRule="auto"/>
              <w:ind w:firstLineChars="0" w:firstLine="0"/>
              <w:jc w:val="center"/>
              <w:rPr>
                <w:rFonts w:asciiTheme="minorEastAsia" w:eastAsiaTheme="minorEastAsia" w:hAnsiTheme="minorEastAsia" w:cs="仿宋"/>
                <w:i/>
                <w:kern w:val="0"/>
                <w:sz w:val="22"/>
              </w:rPr>
            </w:pPr>
            <w:r w:rsidRPr="006F4D70">
              <w:rPr>
                <w:rFonts w:asciiTheme="minorEastAsia" w:eastAsiaTheme="minorEastAsia" w:hAnsiTheme="minorEastAsia" w:cs="仿宋" w:hint="eastAsia"/>
                <w:kern w:val="0"/>
                <w:sz w:val="22"/>
              </w:rPr>
              <w:t>R≤R</w:t>
            </w:r>
            <w:r w:rsidRPr="006F4D70">
              <w:rPr>
                <w:rFonts w:asciiTheme="minorEastAsia" w:eastAsiaTheme="minorEastAsia" w:hAnsiTheme="minorEastAsia" w:cs="仿宋" w:hint="eastAsia"/>
                <w:kern w:val="0"/>
                <w:sz w:val="22"/>
                <w:vertAlign w:val="subscript"/>
              </w:rPr>
              <w:t>b</w:t>
            </w:r>
            <w:r w:rsidRPr="006F4D70">
              <w:rPr>
                <w:rFonts w:asciiTheme="minorEastAsia" w:eastAsiaTheme="minorEastAsia" w:hAnsiTheme="minorEastAsia" w:cs="仿宋" w:hint="eastAsia"/>
                <w:kern w:val="0"/>
                <w:sz w:val="22"/>
              </w:rPr>
              <w:t>-3%</w:t>
            </w:r>
          </w:p>
        </w:tc>
        <w:tc>
          <w:tcPr>
            <w:tcW w:w="1701" w:type="dxa"/>
            <w:vAlign w:val="center"/>
          </w:tcPr>
          <w:p w14:paraId="190D30E8"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0</w:t>
            </w:r>
          </w:p>
        </w:tc>
        <w:tc>
          <w:tcPr>
            <w:tcW w:w="1701" w:type="dxa"/>
            <w:vAlign w:val="center"/>
          </w:tcPr>
          <w:p w14:paraId="2A19F8FE"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0</w:t>
            </w:r>
          </w:p>
        </w:tc>
      </w:tr>
      <w:tr w:rsidR="00595296" w:rsidRPr="006F4D70" w14:paraId="6919CD96" w14:textId="77777777">
        <w:trPr>
          <w:trHeight w:val="510"/>
          <w:jc w:val="center"/>
        </w:trPr>
        <w:tc>
          <w:tcPr>
            <w:tcW w:w="1247" w:type="dxa"/>
            <w:vAlign w:val="center"/>
          </w:tcPr>
          <w:p w14:paraId="4B46E10C"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bCs/>
                <w:kern w:val="0"/>
                <w:sz w:val="22"/>
              </w:rPr>
              <w:t>情形</w:t>
            </w:r>
            <w:r w:rsidRPr="006F4D70">
              <w:rPr>
                <w:rFonts w:asciiTheme="minorEastAsia" w:eastAsiaTheme="minorEastAsia" w:hAnsiTheme="minorEastAsia" w:cs="仿宋" w:hint="eastAsia"/>
                <w:kern w:val="0"/>
                <w:sz w:val="22"/>
              </w:rPr>
              <w:t>二</w:t>
            </w:r>
          </w:p>
        </w:tc>
        <w:tc>
          <w:tcPr>
            <w:tcW w:w="2933" w:type="dxa"/>
            <w:vAlign w:val="center"/>
          </w:tcPr>
          <w:p w14:paraId="79346106"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bCs/>
                <w:kern w:val="0"/>
                <w:sz w:val="22"/>
              </w:rPr>
              <w:t>其他情形</w:t>
            </w:r>
          </w:p>
        </w:tc>
        <w:tc>
          <w:tcPr>
            <w:tcW w:w="1701" w:type="dxa"/>
            <w:vAlign w:val="center"/>
          </w:tcPr>
          <w:p w14:paraId="697B10F3"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0.60%</w:t>
            </w:r>
          </w:p>
        </w:tc>
        <w:tc>
          <w:tcPr>
            <w:tcW w:w="1701" w:type="dxa"/>
            <w:vAlign w:val="center"/>
          </w:tcPr>
          <w:p w14:paraId="3146182A"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0</w:t>
            </w:r>
          </w:p>
        </w:tc>
      </w:tr>
      <w:tr w:rsidR="00595296" w:rsidRPr="006F4D70" w14:paraId="3DF9E784" w14:textId="77777777">
        <w:trPr>
          <w:trHeight w:val="510"/>
          <w:jc w:val="center"/>
        </w:trPr>
        <w:tc>
          <w:tcPr>
            <w:tcW w:w="1247" w:type="dxa"/>
            <w:vAlign w:val="center"/>
          </w:tcPr>
          <w:p w14:paraId="1DF0D487"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情形三</w:t>
            </w:r>
          </w:p>
        </w:tc>
        <w:tc>
          <w:tcPr>
            <w:tcW w:w="2933" w:type="dxa"/>
            <w:vAlign w:val="center"/>
          </w:tcPr>
          <w:p w14:paraId="3B15FB23" w14:textId="77777777" w:rsidR="00595296" w:rsidRPr="006F4D70" w:rsidRDefault="002B7F4D">
            <w:pPr>
              <w:spacing w:line="276" w:lineRule="auto"/>
              <w:ind w:firstLineChars="0" w:firstLine="0"/>
              <w:jc w:val="center"/>
              <w:rPr>
                <w:rFonts w:asciiTheme="minorEastAsia" w:eastAsiaTheme="minorEastAsia" w:hAnsiTheme="minorEastAsia" w:cs="仿宋"/>
                <w:b/>
                <w:bCs/>
                <w:kern w:val="0"/>
                <w:sz w:val="22"/>
              </w:rPr>
            </w:pPr>
            <w:r w:rsidRPr="006F4D70">
              <w:rPr>
                <w:rFonts w:asciiTheme="minorEastAsia" w:eastAsiaTheme="minorEastAsia" w:hAnsiTheme="minorEastAsia" w:cs="仿宋" w:hint="eastAsia"/>
                <w:bCs/>
                <w:sz w:val="22"/>
              </w:rPr>
              <w:t>R＞R</w:t>
            </w:r>
            <w:r w:rsidRPr="006F4D70">
              <w:rPr>
                <w:rFonts w:asciiTheme="minorEastAsia" w:eastAsiaTheme="minorEastAsia" w:hAnsiTheme="minorEastAsia" w:cs="仿宋" w:hint="eastAsia"/>
                <w:spacing w:val="-2"/>
                <w:sz w:val="22"/>
                <w:vertAlign w:val="subscript"/>
              </w:rPr>
              <w:t>b</w:t>
            </w:r>
            <w:r w:rsidRPr="006F4D70">
              <w:rPr>
                <w:rFonts w:asciiTheme="minorEastAsia" w:eastAsiaTheme="minorEastAsia" w:hAnsiTheme="minorEastAsia" w:cs="仿宋" w:hint="eastAsia"/>
                <w:bCs/>
                <w:sz w:val="22"/>
              </w:rPr>
              <w:t>+6%，R＞0</w:t>
            </w:r>
          </w:p>
        </w:tc>
        <w:tc>
          <w:tcPr>
            <w:tcW w:w="1701" w:type="dxa"/>
            <w:vAlign w:val="center"/>
          </w:tcPr>
          <w:p w14:paraId="55503B1D"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0.60%</w:t>
            </w:r>
          </w:p>
        </w:tc>
        <w:tc>
          <w:tcPr>
            <w:tcW w:w="1701" w:type="dxa"/>
            <w:vAlign w:val="center"/>
          </w:tcPr>
          <w:p w14:paraId="01F8B9BB" w14:textId="77777777" w:rsidR="00595296" w:rsidRPr="006F4D70" w:rsidRDefault="002B7F4D">
            <w:pPr>
              <w:spacing w:line="240" w:lineRule="auto"/>
              <w:ind w:firstLineChars="0" w:firstLine="0"/>
              <w:jc w:val="center"/>
              <w:rPr>
                <w:rFonts w:asciiTheme="minorEastAsia" w:eastAsiaTheme="minorEastAsia" w:hAnsiTheme="minorEastAsia" w:cs="仿宋"/>
                <w:kern w:val="0"/>
                <w:sz w:val="22"/>
              </w:rPr>
            </w:pPr>
            <w:r w:rsidRPr="006F4D70">
              <w:rPr>
                <w:rFonts w:asciiTheme="minorEastAsia" w:eastAsiaTheme="minorEastAsia" w:hAnsiTheme="minorEastAsia" w:cs="仿宋" w:hint="eastAsia"/>
                <w:kern w:val="0"/>
                <w:sz w:val="22"/>
              </w:rPr>
              <w:t>0.30%</w:t>
            </w:r>
          </w:p>
        </w:tc>
      </w:tr>
    </w:tbl>
    <w:bookmarkEnd w:id="231"/>
    <w:p w14:paraId="37338FB8" w14:textId="7BB8C6F2"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对于“情形三”，若拟扣除超额管理费后的年化收益率小于等于R</w:t>
      </w:r>
      <w:r w:rsidRPr="006F4D70">
        <w:rPr>
          <w:rFonts w:asciiTheme="minorEastAsia" w:eastAsiaTheme="minorEastAsia" w:hAnsiTheme="minorEastAsia" w:cs="仿宋"/>
          <w:spacing w:val="-2"/>
          <w:sz w:val="22"/>
          <w:vertAlign w:val="subscript"/>
          <w14:ligatures w14:val="standardContextual"/>
        </w:rPr>
        <w:t>b</w:t>
      </w:r>
      <w:r w:rsidRPr="006F4D70">
        <w:rPr>
          <w:rFonts w:asciiTheme="minorEastAsia" w:eastAsiaTheme="minorEastAsia" w:hAnsiTheme="minorEastAsia" w:cs="仿宋" w:hint="eastAsia"/>
          <w:bCs/>
          <w:szCs w:val="24"/>
          <w14:ligatures w14:val="standardContextual"/>
        </w:rPr>
        <w:t>+6%，或小于等于0时，仍按1.20%年费率收取该笔基金份额的管理费，以使得该笔基金份额在扣除超额管理费后的年化收益率仍满足本基金收取超额管理费的标准。</w:t>
      </w:r>
    </w:p>
    <w:p w14:paraId="501D4B60"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每笔基金份额的年化收益率（R）计算方法如下：</w:t>
      </w:r>
    </w:p>
    <w:p w14:paraId="0EE1914C" w14:textId="77777777" w:rsidR="00595296" w:rsidRPr="006F4D70" w:rsidRDefault="002B7F4D">
      <w:pPr>
        <w:spacing w:line="300" w:lineRule="auto"/>
        <w:ind w:firstLineChars="0" w:firstLine="480"/>
        <w:rPr>
          <w:rFonts w:asciiTheme="minorEastAsia" w:eastAsiaTheme="minorEastAsia" w:hAnsiTheme="minorEastAsia" w:cs="仿宋"/>
          <w:iCs/>
          <w:szCs w:val="24"/>
          <w14:ligatures w14:val="standardContextual"/>
        </w:rPr>
      </w:pPr>
      <w:bookmarkStart w:id="232" w:name="_Hlk195865107"/>
      <m:oMathPara>
        <m:oMath>
          <m:r>
            <m:rPr>
              <m:sty m:val="p"/>
            </m:rPr>
            <w:rPr>
              <w:rFonts w:ascii="Cambria Math" w:eastAsiaTheme="minorEastAsia" w:hAnsi="Cambria Math" w:cs="仿宋" w:hint="eastAsia"/>
              <w14:ligatures w14:val="standardContextual"/>
            </w:rPr>
            <m:t>R=</m:t>
          </m:r>
          <m:f>
            <m:fPr>
              <m:ctrlPr>
                <w:rPr>
                  <w:rFonts w:ascii="Cambria Math" w:eastAsiaTheme="minorEastAsia" w:hAnsi="Cambria Math" w:cs="仿宋" w:hint="eastAsia"/>
                  <w14:ligatures w14:val="standardContextual"/>
                </w:rPr>
              </m:ctrlPr>
            </m:fPr>
            <m:num>
              <m:r>
                <w:rPr>
                  <w:rFonts w:ascii="Cambria Math" w:eastAsiaTheme="minorEastAsia" w:hAnsi="Cambria Math" w:cs="仿宋" w:hint="eastAsia"/>
                  <w14:ligatures w14:val="standardContextual"/>
                </w:rPr>
                <m:t>A</m:t>
              </m:r>
              <m:r>
                <w:rPr>
                  <w:rFonts w:ascii="微软雅黑" w:eastAsia="微软雅黑" w:hAnsi="微软雅黑" w:cs="微软雅黑" w:hint="eastAsia"/>
                  <w14:ligatures w14:val="standardContextual"/>
                </w:rPr>
                <m:t>-</m:t>
              </m:r>
              <m:r>
                <w:rPr>
                  <w:rFonts w:ascii="Cambria Math" w:eastAsiaTheme="minorEastAsia" w:hAnsi="Cambria Math" w:cs="仿宋" w:hint="eastAsia"/>
                  <w14:ligatures w14:val="standardContextual"/>
                </w:rPr>
                <m:t>B</m:t>
              </m:r>
            </m:num>
            <m:den>
              <m:r>
                <w:rPr>
                  <w:rFonts w:ascii="Cambria Math" w:eastAsiaTheme="minorEastAsia" w:hAnsi="Cambria Math" w:cs="仿宋" w:hint="eastAsia"/>
                  <w14:ligatures w14:val="standardContextual"/>
                </w:rPr>
                <m:t>C</m:t>
              </m:r>
            </m:den>
          </m:f>
          <m:r>
            <w:rPr>
              <w:rFonts w:ascii="Cambria Math" w:eastAsiaTheme="minorEastAsia" w:hAnsi="Cambria Math" w:cs="仿宋" w:hint="eastAsia"/>
              <w14:ligatures w14:val="standardContextual"/>
            </w:rPr>
            <m:t>×</m:t>
          </m:r>
          <m:f>
            <m:fPr>
              <m:ctrlPr>
                <w:rPr>
                  <w:rFonts w:ascii="Cambria Math" w:eastAsiaTheme="minorEastAsia" w:hAnsi="Cambria Math" w:cs="仿宋" w:hint="eastAsia"/>
                  <w:i/>
                  <w14:ligatures w14:val="standardContextual"/>
                </w:rPr>
              </m:ctrlPr>
            </m:fPr>
            <m:num>
              <m:r>
                <w:rPr>
                  <w:rFonts w:ascii="Cambria Math" w:eastAsiaTheme="minorEastAsia" w:hAnsi="Cambria Math" w:cs="仿宋" w:hint="eastAsia"/>
                  <w14:ligatures w14:val="standardContextual"/>
                </w:rPr>
                <m:t>365</m:t>
              </m:r>
            </m:num>
            <m:den>
              <m:r>
                <w:rPr>
                  <w:rFonts w:ascii="Cambria Math" w:eastAsiaTheme="minorEastAsia" w:hAnsi="Cambria Math" w:cs="仿宋" w:hint="eastAsia"/>
                  <w14:ligatures w14:val="standardContextual"/>
                </w:rPr>
                <m:t>D</m:t>
              </m:r>
            </m:den>
          </m:f>
          <m:r>
            <w:rPr>
              <w:rFonts w:ascii="Cambria Math" w:eastAsiaTheme="minorEastAsia" w:hAnsi="Cambria Math" w:cs="仿宋" w:hint="eastAsia"/>
              <w14:ligatures w14:val="standardContextual"/>
            </w:rPr>
            <m:t>×</m:t>
          </m:r>
          <m:r>
            <w:rPr>
              <w:rFonts w:ascii="Cambria Math" w:eastAsiaTheme="minorEastAsia" w:hAnsi="Cambria Math" w:cs="仿宋" w:hint="eastAsia"/>
              <w14:ligatures w14:val="standardContextual"/>
            </w:rPr>
            <m:t>100%</m:t>
          </m:r>
        </m:oMath>
      </m:oMathPara>
    </w:p>
    <w:bookmarkEnd w:id="232"/>
    <w:p w14:paraId="478A7103"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lastRenderedPageBreak/>
        <w:t>拟扣除超额管理费后的年化收益率（R*）的计算方法如下：</w:t>
      </w:r>
    </w:p>
    <w:p w14:paraId="251E4CBE" w14:textId="77777777" w:rsidR="00595296" w:rsidRPr="006F4D70" w:rsidRDefault="002B7F4D">
      <w:pPr>
        <w:ind w:firstLine="480"/>
        <w:jc w:val="center"/>
        <w:rPr>
          <w:rFonts w:asciiTheme="minorEastAsia" w:eastAsiaTheme="minorEastAsia" w:hAnsiTheme="minorEastAsia" w:cs="仿宋"/>
          <w:bCs/>
          <w:szCs w:val="24"/>
          <w14:ligatures w14:val="standardContextual"/>
        </w:rPr>
      </w:pPr>
      <w:bookmarkStart w:id="233" w:name="_Hlk196342196"/>
      <m:oMathPara>
        <m:oMath>
          <m:r>
            <m:rPr>
              <m:sty m:val="p"/>
            </m:rPr>
            <w:rPr>
              <w:rFonts w:ascii="Cambria Math" w:eastAsiaTheme="minorEastAsia" w:hAnsi="Cambria Math" w:cs="仿宋" w:hint="eastAsia"/>
              <w14:ligatures w14:val="standardContextual"/>
            </w:rPr>
            <m:t>R</m:t>
          </m:r>
          <m:r>
            <w:rPr>
              <w:rFonts w:ascii="MS Gothic" w:eastAsia="MS Gothic" w:hAnsi="MS Gothic" w:cs="MS Gothic" w:hint="eastAsia"/>
              <w14:ligatures w14:val="standardContextual"/>
            </w:rPr>
            <m:t>*</m:t>
          </m:r>
          <m:r>
            <w:rPr>
              <w:rFonts w:ascii="Cambria Math" w:eastAsiaTheme="minorEastAsia" w:hAnsi="Cambria Math" w:cs="仿宋" w:hint="eastAsia"/>
              <w14:ligatures w14:val="standardContextual"/>
            </w:rPr>
            <m:t>=</m:t>
          </m:r>
          <m:f>
            <m:fPr>
              <m:ctrlPr>
                <w:rPr>
                  <w:rFonts w:ascii="Cambria Math" w:eastAsiaTheme="minorEastAsia" w:hAnsi="Cambria Math" w:cs="仿宋" w:hint="eastAsia"/>
                  <w:bCs/>
                  <w:i/>
                  <w14:ligatures w14:val="standardContextual"/>
                </w:rPr>
              </m:ctrlPr>
            </m:fPr>
            <m:num>
              <m:r>
                <w:rPr>
                  <w:rFonts w:ascii="Cambria Math" w:eastAsiaTheme="minorEastAsia" w:hAnsi="Cambria Math" w:cs="仿宋" w:hint="eastAsia"/>
                  <w14:ligatures w14:val="standardContextual"/>
                </w:rPr>
                <m:t>F</m:t>
              </m:r>
              <m:r>
                <w:rPr>
                  <w:rFonts w:ascii="Cambria Math" w:eastAsiaTheme="minorEastAsia" w:hAnsi="Cambria Math" w:cs="仿宋" w:hint="eastAsia"/>
                  <w14:ligatures w14:val="standardContextual"/>
                </w:rPr>
                <m:t>×</m:t>
              </m:r>
              <m:d>
                <m:dPr>
                  <m:ctrlPr>
                    <w:rPr>
                      <w:rFonts w:ascii="Cambria Math" w:eastAsiaTheme="minorEastAsia" w:hAnsi="Cambria Math" w:cs="仿宋" w:hint="eastAsia"/>
                      <w:bCs/>
                      <w:i/>
                      <w14:ligatures w14:val="standardContextual"/>
                    </w:rPr>
                  </m:ctrlPr>
                </m:dPr>
                <m:e>
                  <m:r>
                    <w:rPr>
                      <w:rFonts w:ascii="Cambria Math" w:eastAsiaTheme="minorEastAsia" w:hAnsi="Cambria Math" w:cs="仿宋" w:hint="eastAsia"/>
                      <w14:ligatures w14:val="standardContextual"/>
                    </w:rPr>
                    <m:t>A</m:t>
                  </m:r>
                  <m:r>
                    <w:rPr>
                      <w:rFonts w:ascii="微软雅黑" w:eastAsia="微软雅黑" w:hAnsi="微软雅黑" w:cs="微软雅黑" w:hint="eastAsia"/>
                      <w14:ligatures w14:val="standardContextual"/>
                    </w:rPr>
                    <m:t>-</m:t>
                  </m:r>
                  <m:r>
                    <w:rPr>
                      <w:rFonts w:ascii="Cambria Math" w:eastAsiaTheme="minorEastAsia" w:hAnsi="Cambria Math" w:cs="仿宋" w:hint="eastAsia"/>
                      <w14:ligatures w14:val="standardContextual"/>
                    </w:rPr>
                    <m:t>B</m:t>
                  </m:r>
                </m:e>
              </m:d>
              <m:r>
                <w:rPr>
                  <w:rFonts w:ascii="微软雅黑" w:eastAsia="微软雅黑" w:hAnsi="微软雅黑" w:cs="微软雅黑" w:hint="eastAsia"/>
                  <w14:ligatures w14:val="standardContextual"/>
                </w:rPr>
                <m:t>-</m:t>
              </m:r>
              <m:sSub>
                <m:sSubPr>
                  <m:ctrlPr>
                    <w:rPr>
                      <w:rFonts w:ascii="Cambria Math" w:eastAsiaTheme="minorEastAsia" w:hAnsi="Cambria Math" w:cs="仿宋" w:hint="eastAsia"/>
                      <w:bCs/>
                      <w:i/>
                      <w14:ligatures w14:val="standardContextual"/>
                    </w:rPr>
                  </m:ctrlPr>
                </m:sSubPr>
                <m:e>
                  <m:r>
                    <w:rPr>
                      <w:rFonts w:ascii="Cambria Math" w:eastAsiaTheme="minorEastAsia" w:hAnsi="Cambria Math" w:cs="仿宋" w:hint="eastAsia"/>
                      <w14:ligatures w14:val="standardContextual"/>
                    </w:rPr>
                    <m:t>M</m:t>
                  </m:r>
                </m:e>
                <m:sub>
                  <m:r>
                    <w:rPr>
                      <w:rFonts w:ascii="Cambria Math" w:eastAsiaTheme="minorEastAsia" w:hAnsi="Cambria Math" w:cs="仿宋" w:hint="eastAsia"/>
                      <w14:ligatures w14:val="standardContextual"/>
                    </w:rPr>
                    <m:t>C</m:t>
                  </m:r>
                </m:sub>
              </m:sSub>
            </m:num>
            <m:den>
              <m:r>
                <w:rPr>
                  <w:rFonts w:ascii="Cambria Math" w:eastAsiaTheme="minorEastAsia" w:hAnsi="Cambria Math" w:cs="仿宋" w:hint="eastAsia"/>
                  <w14:ligatures w14:val="standardContextual"/>
                </w:rPr>
                <m:t>F</m:t>
              </m:r>
              <m:r>
                <w:rPr>
                  <w:rFonts w:ascii="Cambria Math" w:eastAsiaTheme="minorEastAsia" w:hAnsi="Cambria Math" w:cs="仿宋" w:hint="eastAsia"/>
                  <w14:ligatures w14:val="standardContextual"/>
                </w:rPr>
                <m:t>×</m:t>
              </m:r>
              <m:r>
                <w:rPr>
                  <w:rFonts w:ascii="Cambria Math" w:eastAsiaTheme="minorEastAsia" w:hAnsi="Cambria Math" w:cs="仿宋" w:hint="eastAsia"/>
                  <w14:ligatures w14:val="standardContextual"/>
                </w:rPr>
                <m:t>C</m:t>
              </m:r>
            </m:den>
          </m:f>
          <m:r>
            <w:rPr>
              <w:rFonts w:ascii="Cambria Math" w:eastAsiaTheme="minorEastAsia" w:hAnsi="Cambria Math" w:cs="仿宋" w:hint="eastAsia"/>
              <w14:ligatures w14:val="standardContextual"/>
            </w:rPr>
            <m:t>×</m:t>
          </m:r>
          <m:f>
            <m:fPr>
              <m:ctrlPr>
                <w:rPr>
                  <w:rFonts w:ascii="Cambria Math" w:eastAsiaTheme="minorEastAsia" w:hAnsi="Cambria Math" w:cs="仿宋" w:hint="eastAsia"/>
                  <w:bCs/>
                  <w:i/>
                  <w14:ligatures w14:val="standardContextual"/>
                </w:rPr>
              </m:ctrlPr>
            </m:fPr>
            <m:num>
              <m:r>
                <w:rPr>
                  <w:rFonts w:ascii="Cambria Math" w:eastAsiaTheme="minorEastAsia" w:hAnsi="Cambria Math" w:cs="仿宋" w:hint="eastAsia"/>
                  <w14:ligatures w14:val="standardContextual"/>
                </w:rPr>
                <m:t>365</m:t>
              </m:r>
            </m:num>
            <m:den>
              <m:r>
                <w:rPr>
                  <w:rFonts w:ascii="Cambria Math" w:eastAsiaTheme="minorEastAsia" w:hAnsi="Cambria Math" w:cs="仿宋" w:hint="eastAsia"/>
                  <w14:ligatures w14:val="standardContextual"/>
                </w:rPr>
                <m:t>D</m:t>
              </m:r>
            </m:den>
          </m:f>
          <m:r>
            <w:rPr>
              <w:rFonts w:ascii="Cambria Math" w:eastAsiaTheme="minorEastAsia" w:hAnsi="Cambria Math" w:cs="仿宋" w:hint="eastAsia"/>
              <w14:ligatures w14:val="standardContextual"/>
            </w:rPr>
            <m:t>×</m:t>
          </m:r>
          <m:r>
            <w:rPr>
              <w:rFonts w:ascii="Cambria Math" w:eastAsiaTheme="minorEastAsia" w:hAnsi="Cambria Math" w:cs="仿宋" w:hint="eastAsia"/>
              <w14:ligatures w14:val="standardContextual"/>
            </w:rPr>
            <m:t>100%</m:t>
          </m:r>
        </m:oMath>
      </m:oMathPara>
    </w:p>
    <w:bookmarkEnd w:id="233"/>
    <w:p w14:paraId="59B810EC"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R为该笔基金份额的年化收益率；R</w:t>
      </w:r>
      <w:r w:rsidRPr="006F4D70">
        <w:rPr>
          <w:rFonts w:asciiTheme="minorEastAsia" w:eastAsiaTheme="minorEastAsia" w:hAnsiTheme="minorEastAsia" w:cs="仿宋" w:hint="eastAsia"/>
          <w:bCs/>
          <w:szCs w:val="24"/>
          <w:vertAlign w:val="subscript"/>
          <w14:ligatures w14:val="standardContextual"/>
        </w:rPr>
        <w:t>b</w:t>
      </w:r>
      <w:r w:rsidRPr="006F4D70">
        <w:rPr>
          <w:rFonts w:asciiTheme="minorEastAsia" w:eastAsiaTheme="minorEastAsia" w:hAnsiTheme="minorEastAsia" w:cs="仿宋" w:hint="eastAsia"/>
          <w:bCs/>
          <w:szCs w:val="24"/>
          <w14:ligatures w14:val="standardContextual"/>
        </w:rPr>
        <w:t>为本基金业绩比较基准同期年化收益率；</w:t>
      </w:r>
    </w:p>
    <w:p w14:paraId="056E1A3C"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A为该笔基金份额赎回日、转出日或基金合同终止情形发生日的基金份额累计净值；</w:t>
      </w:r>
    </w:p>
    <w:p w14:paraId="6BF123DF" w14:textId="70FB8776"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B为该笔基金份额认购/申购/转入日的基金份额累计净值，其中份额认购日的基金份额（累计）净值为1.00元；</w:t>
      </w:r>
    </w:p>
    <w:p w14:paraId="1CFA0512"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C为该笔基金份额认购/申购/转入日的基金份额净值，其中份额认购日的基金份额净值为1.00元；</w:t>
      </w:r>
    </w:p>
    <w:p w14:paraId="3EA13C1C" w14:textId="134E7E07" w:rsidR="00595296" w:rsidRPr="006F4D70" w:rsidRDefault="00F25F6E">
      <w:pPr>
        <w:ind w:firstLine="480"/>
        <w:rPr>
          <w:rFonts w:asciiTheme="minorEastAsia" w:eastAsiaTheme="minorEastAsia" w:hAnsiTheme="minorEastAsia" w:cs="仿宋"/>
          <w:bCs/>
          <w:szCs w:val="24"/>
          <w14:ligatures w14:val="standardContextual"/>
        </w:rPr>
      </w:pPr>
      <w:r>
        <w:rPr>
          <w:rFonts w:ascii="Times New Roman" w:hAnsi="Times New Roman"/>
          <w:bCs/>
          <w14:ligatures w14:val="standardContextual"/>
        </w:rPr>
        <w:t>D</w:t>
      </w:r>
      <w:r>
        <w:rPr>
          <w:rFonts w:ascii="Times New Roman" w:hAnsi="Times New Roman"/>
          <w:bCs/>
          <w14:ligatures w14:val="standardContextual"/>
        </w:rPr>
        <w:t>为</w:t>
      </w:r>
      <w:r>
        <w:rPr>
          <w:rFonts w:ascii="Times New Roman" w:hAnsi="Times New Roman" w:hint="eastAsia"/>
          <w:bCs/>
          <w14:ligatures w14:val="standardContextual"/>
        </w:rPr>
        <w:t>基金合同生效日（针对募集期内认购的基金份额）或该笔基金份额申购</w:t>
      </w:r>
      <w:r w:rsidR="009B7BEF">
        <w:rPr>
          <w:rFonts w:ascii="Times New Roman" w:hAnsi="Times New Roman" w:hint="eastAsia"/>
          <w:bCs/>
          <w14:ligatures w14:val="standardContextual"/>
        </w:rPr>
        <w:t>确认日</w:t>
      </w:r>
      <w:r w:rsidR="00774DC4">
        <w:rPr>
          <w:rFonts w:ascii="Times New Roman" w:hAnsi="Times New Roman" w:hint="eastAsia"/>
          <w:bCs/>
          <w14:ligatures w14:val="standardContextual"/>
        </w:rPr>
        <w:t>、转入</w:t>
      </w:r>
      <w:r>
        <w:rPr>
          <w:rFonts w:ascii="Times New Roman" w:hAnsi="Times New Roman" w:hint="eastAsia"/>
          <w:bCs/>
          <w14:ligatures w14:val="standardContextual"/>
        </w:rPr>
        <w:t>确认日</w:t>
      </w:r>
      <w:r>
        <w:rPr>
          <w:rFonts w:ascii="Times New Roman" w:hAnsi="Times New Roman"/>
          <w:bCs/>
          <w14:ligatures w14:val="standardContextual"/>
        </w:rPr>
        <w:t>与</w:t>
      </w:r>
      <w:r>
        <w:rPr>
          <w:rFonts w:ascii="Times New Roman" w:hAnsi="Times New Roman" w:hint="eastAsia"/>
          <w:bCs/>
          <w14:ligatures w14:val="standardContextual"/>
        </w:rPr>
        <w:t>赎回</w:t>
      </w:r>
      <w:r w:rsidR="009B7BEF">
        <w:rPr>
          <w:rFonts w:ascii="Times New Roman" w:hAnsi="Times New Roman" w:hint="eastAsia"/>
          <w:bCs/>
          <w14:ligatures w14:val="standardContextual"/>
        </w:rPr>
        <w:t>确认日</w:t>
      </w:r>
      <w:r w:rsidR="00774DC4">
        <w:rPr>
          <w:rFonts w:ascii="Times New Roman" w:hAnsi="Times New Roman" w:hint="eastAsia"/>
          <w:bCs/>
          <w14:ligatures w14:val="standardContextual"/>
        </w:rPr>
        <w:t>、转出</w:t>
      </w:r>
      <w:r>
        <w:rPr>
          <w:rFonts w:ascii="Times New Roman" w:hAnsi="Times New Roman" w:hint="eastAsia"/>
          <w:bCs/>
          <w14:ligatures w14:val="standardContextual"/>
        </w:rPr>
        <w:t>确认日或基金合同终止情形发生日下一工作日</w:t>
      </w:r>
      <w:r>
        <w:rPr>
          <w:rFonts w:ascii="Times New Roman" w:hAnsi="Times New Roman"/>
          <w:bCs/>
          <w14:ligatures w14:val="standardContextual"/>
        </w:rPr>
        <w:t>的间隔天数</w:t>
      </w:r>
      <w:r>
        <w:rPr>
          <w:rFonts w:ascii="Times New Roman" w:hAnsi="Times New Roman" w:hint="eastAsia"/>
          <w:bCs/>
          <w14:ligatures w14:val="standardContextual"/>
        </w:rPr>
        <w:t>；</w:t>
      </w:r>
    </w:p>
    <w:p w14:paraId="4A8BDD55" w14:textId="77777777"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F为该笔基金份额的份额数；</w:t>
      </w:r>
    </w:p>
    <w:p w14:paraId="72B6D394" w14:textId="758DE639" w:rsidR="00595296" w:rsidRPr="006F4D70" w:rsidRDefault="002B7F4D">
      <w:pPr>
        <w:ind w:firstLine="480"/>
        <w:rPr>
          <w:rFonts w:asciiTheme="minorEastAsia" w:eastAsiaTheme="minorEastAsia" w:hAnsiTheme="minorEastAsia" w:cs="仿宋"/>
          <w:bCs/>
          <w:szCs w:val="24"/>
          <w14:ligatures w14:val="standardContextual"/>
        </w:rPr>
      </w:pPr>
      <w:r w:rsidRPr="006F4D70">
        <w:rPr>
          <w:rFonts w:ascii="Cambria Math" w:eastAsiaTheme="minorEastAsia" w:hAnsi="Cambria Math" w:cs="Cambria Math"/>
          <w:bCs/>
          <w14:ligatures w14:val="standardContextual"/>
        </w:rPr>
        <w:t>𝑀𝑐</w:t>
      </w:r>
      <w:r w:rsidRPr="006F4D70">
        <w:rPr>
          <w:rFonts w:asciiTheme="minorEastAsia" w:eastAsiaTheme="minorEastAsia" w:hAnsiTheme="minorEastAsia" w:cs="仿宋" w:hint="eastAsia"/>
          <w:bCs/>
          <w:szCs w:val="24"/>
          <w14:ligatures w14:val="standardContextual"/>
        </w:rPr>
        <w:t>为该笔基金份额持有期</w:t>
      </w:r>
      <w:r w:rsidR="00C871D6" w:rsidRPr="006F4D70">
        <w:rPr>
          <w:rFonts w:asciiTheme="minorEastAsia" w:eastAsiaTheme="minorEastAsia" w:hAnsiTheme="minorEastAsia" w:cs="仿宋" w:hint="eastAsia"/>
          <w:bCs/>
          <w:szCs w:val="24"/>
          <w14:ligatures w14:val="standardContextual"/>
        </w:rPr>
        <w:t>限</w:t>
      </w:r>
      <w:r w:rsidRPr="006F4D70">
        <w:rPr>
          <w:rFonts w:asciiTheme="minorEastAsia" w:eastAsiaTheme="minorEastAsia" w:hAnsiTheme="minorEastAsia" w:cs="仿宋" w:hint="eastAsia"/>
          <w:bCs/>
          <w:szCs w:val="24"/>
          <w14:ligatures w14:val="standardContextual"/>
        </w:rPr>
        <w:t>内累计计算的超额管理费。</w:t>
      </w:r>
    </w:p>
    <w:p w14:paraId="6794C39E" w14:textId="55A99449" w:rsidR="00696C7A" w:rsidRDefault="002B7F4D" w:rsidP="00696C7A">
      <w:pPr>
        <w:ind w:firstLine="480"/>
        <w:rPr>
          <w:rFonts w:asciiTheme="minorEastAsia" w:eastAsiaTheme="minorEastAsia" w:hAnsiTheme="minorEastAsia" w:cs="仿宋"/>
          <w:bCs/>
          <w:szCs w:val="24"/>
          <w14:ligatures w14:val="standardContextual"/>
        </w:rPr>
      </w:pPr>
      <w:r w:rsidRPr="006F4D70">
        <w:rPr>
          <w:rFonts w:asciiTheme="minorEastAsia" w:eastAsiaTheme="minorEastAsia" w:hAnsiTheme="minorEastAsia" w:cs="仿宋" w:hint="eastAsia"/>
          <w:bCs/>
          <w:szCs w:val="24"/>
          <w14:ligatures w14:val="standardContextual"/>
        </w:rPr>
        <w:t>对于已经确认为</w:t>
      </w:r>
      <w:r w:rsidR="00C871D6" w:rsidRPr="006F4D70">
        <w:rPr>
          <w:rFonts w:asciiTheme="minorEastAsia" w:eastAsiaTheme="minorEastAsia" w:hAnsiTheme="minorEastAsia" w:cs="仿宋" w:hint="eastAsia"/>
          <w:bCs/>
          <w:szCs w:val="24"/>
          <w14:ligatures w14:val="standardContextual"/>
        </w:rPr>
        <w:t>基金</w:t>
      </w:r>
      <w:r w:rsidRPr="006F4D70">
        <w:rPr>
          <w:rFonts w:asciiTheme="minorEastAsia" w:eastAsiaTheme="minorEastAsia" w:hAnsiTheme="minorEastAsia" w:cs="仿宋" w:hint="eastAsia"/>
          <w:bCs/>
          <w:szCs w:val="24"/>
          <w14:ligatures w14:val="standardContextual"/>
        </w:rPr>
        <w:t>管理人收入的或有管理费</w:t>
      </w:r>
      <w:bookmarkStart w:id="234" w:name="_Hlk210042165"/>
      <w:r w:rsidRPr="006F4D70">
        <w:rPr>
          <w:rFonts w:asciiTheme="minorEastAsia" w:eastAsiaTheme="minorEastAsia" w:hAnsiTheme="minorEastAsia" w:cs="仿宋" w:hint="eastAsia"/>
          <w:bCs/>
          <w:szCs w:val="24"/>
          <w14:ligatures w14:val="standardContextual"/>
        </w:rPr>
        <w:t>和超额管理费</w:t>
      </w:r>
      <w:bookmarkEnd w:id="234"/>
      <w:r w:rsidRPr="006F4D70">
        <w:rPr>
          <w:rFonts w:asciiTheme="minorEastAsia" w:eastAsiaTheme="minorEastAsia" w:hAnsiTheme="minorEastAsia" w:cs="仿宋" w:hint="eastAsia"/>
          <w:bCs/>
          <w:szCs w:val="24"/>
          <w14:ligatures w14:val="standardContextual"/>
        </w:rPr>
        <w:t>，自动在次月初五个工作日内、按照指定的账户路径进行资金支付，基金管理人无需再出具资金划拨指令。若遇法定节假日、休息日或不可抗力</w:t>
      </w:r>
      <w:bookmarkStart w:id="235" w:name="_Hlk210042213"/>
      <w:r w:rsidR="00C871D6" w:rsidRPr="006F4D70">
        <w:rPr>
          <w:rFonts w:asciiTheme="minorEastAsia" w:eastAsiaTheme="minorEastAsia" w:hAnsiTheme="minorEastAsia" w:cs="仿宋" w:hint="eastAsia"/>
          <w:bCs/>
          <w:szCs w:val="24"/>
          <w14:ligatures w14:val="standardContextual"/>
        </w:rPr>
        <w:t>等</w:t>
      </w:r>
      <w:bookmarkEnd w:id="235"/>
      <w:r w:rsidRPr="006F4D70">
        <w:rPr>
          <w:rFonts w:asciiTheme="minorEastAsia" w:eastAsiaTheme="minorEastAsia" w:hAnsiTheme="minorEastAsia" w:cs="仿宋" w:hint="eastAsia"/>
          <w:bCs/>
          <w:szCs w:val="24"/>
          <w14:ligatures w14:val="standardContextual"/>
        </w:rPr>
        <w:t>致使无法按时支付的，支付日期顺延。费用自动扣划后，基金管理人应进行核对，如发现数据不符，及时联系基金托管人协商解决。</w:t>
      </w:r>
      <w:r w:rsidR="00696C7A">
        <w:rPr>
          <w:rFonts w:ascii="宋体" w:hAnsi="宋体" w:cs="宋体"/>
          <w:kern w:val="0"/>
          <w:szCs w:val="24"/>
          <w:lang w:bidi="ar"/>
        </w:rPr>
        <w:t>因涉及相关数据，或有管理费及超额管理费的计算和复核工作由基金管理人完成，相关信息以注册登记机构计算结果为准，基金托管人不承担复核责任。</w:t>
      </w:r>
    </w:p>
    <w:p w14:paraId="70371864" w14:textId="5A19C5E9"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仿宋" w:hint="eastAsia"/>
          <w:bCs/>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0CAFB95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、基金托管人的托管费</w:t>
      </w:r>
    </w:p>
    <w:p w14:paraId="4C658EE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本基金的托管费按前一日基金资产净值的</w:t>
      </w:r>
      <w:r w:rsidRPr="006F4D70">
        <w:rPr>
          <w:rFonts w:asciiTheme="minorEastAsia" w:eastAsiaTheme="minorEastAsia" w:hAnsiTheme="minorEastAsia" w:cs="宋体"/>
          <w:kern w:val="0"/>
          <w:szCs w:val="24"/>
        </w:rPr>
        <w:t>0.</w:t>
      </w:r>
      <w:r w:rsidRPr="006F4D70">
        <w:rPr>
          <w:rFonts w:asciiTheme="minorEastAsia" w:eastAsiaTheme="minorEastAsia" w:hAnsiTheme="minorEastAsia" w:cs="宋体" w:hint="eastAsia"/>
          <w:kern w:val="0"/>
          <w:szCs w:val="24"/>
        </w:rPr>
        <w:t>2</w:t>
      </w:r>
      <w:r w:rsidRPr="006F4D70">
        <w:rPr>
          <w:rFonts w:asciiTheme="minorEastAsia" w:eastAsiaTheme="minorEastAsia" w:hAnsiTheme="minorEastAsia" w:cs="宋体"/>
          <w:kern w:val="0"/>
          <w:szCs w:val="24"/>
        </w:rPr>
        <w:t>0%</w:t>
      </w:r>
      <w:r w:rsidRPr="006F4D70">
        <w:rPr>
          <w:rFonts w:asciiTheme="minorEastAsia" w:eastAsiaTheme="minorEastAsia" w:hAnsiTheme="minorEastAsia" w:cs="宋体" w:hint="eastAsia"/>
          <w:kern w:val="0"/>
          <w:szCs w:val="24"/>
        </w:rPr>
        <w:t>的年费率计提。托管费的计算方法如下：</w:t>
      </w:r>
    </w:p>
    <w:p w14:paraId="6F270C8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H</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E</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0.</w:t>
      </w:r>
      <w:r w:rsidRPr="006F4D70">
        <w:rPr>
          <w:rFonts w:asciiTheme="minorEastAsia" w:eastAsiaTheme="minorEastAsia" w:hAnsiTheme="minorEastAsia" w:cs="宋体" w:hint="eastAsia"/>
          <w:kern w:val="0"/>
          <w:szCs w:val="24"/>
        </w:rPr>
        <w:t>2</w:t>
      </w:r>
      <w:r w:rsidRPr="006F4D70">
        <w:rPr>
          <w:rFonts w:asciiTheme="minorEastAsia" w:eastAsiaTheme="minorEastAsia" w:hAnsiTheme="minorEastAsia" w:cs="宋体"/>
          <w:kern w:val="0"/>
          <w:szCs w:val="24"/>
        </w:rPr>
        <w:t>0%</w:t>
      </w:r>
      <w:r w:rsidRPr="006F4D70">
        <w:rPr>
          <w:rFonts w:asciiTheme="minorEastAsia" w:eastAsiaTheme="minorEastAsia" w:hAnsiTheme="minorEastAsia" w:cs="宋体" w:hint="eastAsia"/>
          <w:kern w:val="0"/>
          <w:szCs w:val="24"/>
        </w:rPr>
        <w:t>÷当年天数</w:t>
      </w:r>
    </w:p>
    <w:p w14:paraId="4818792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H</w:t>
      </w:r>
      <w:r w:rsidRPr="006F4D70">
        <w:rPr>
          <w:rFonts w:asciiTheme="minorEastAsia" w:eastAsiaTheme="minorEastAsia" w:hAnsiTheme="minorEastAsia" w:cs="宋体" w:hint="eastAsia"/>
          <w:kern w:val="0"/>
          <w:szCs w:val="24"/>
        </w:rPr>
        <w:t>为每日应计提的基金托管费</w:t>
      </w:r>
    </w:p>
    <w:p w14:paraId="6DEB919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E</w:t>
      </w:r>
      <w:r w:rsidRPr="006F4D70">
        <w:rPr>
          <w:rFonts w:asciiTheme="minorEastAsia" w:eastAsiaTheme="minorEastAsia" w:hAnsiTheme="minorEastAsia" w:cs="宋体" w:hint="eastAsia"/>
          <w:kern w:val="0"/>
          <w:szCs w:val="24"/>
        </w:rPr>
        <w:t>为前一日的基金资产净值</w:t>
      </w:r>
    </w:p>
    <w:p w14:paraId="013E682B" w14:textId="3280C00D"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基金托管费</w:t>
      </w:r>
      <w:bookmarkStart w:id="236" w:name="_Hlk210042110"/>
      <w:r w:rsidRPr="006F4D70">
        <w:rPr>
          <w:rFonts w:asciiTheme="minorEastAsia" w:eastAsiaTheme="minorEastAsia" w:hAnsiTheme="minorEastAsia" w:cs="宋体" w:hint="eastAsia"/>
          <w:kern w:val="0"/>
          <w:szCs w:val="24"/>
        </w:rPr>
        <w:t>每日计提，逐日累计至每月月末，按月支付。由基金托管人根据与基金管理人核对一致的财务数据，自动在次月月初</w:t>
      </w:r>
      <w:r w:rsidRPr="006F4D70">
        <w:rPr>
          <w:rFonts w:asciiTheme="minorEastAsia" w:eastAsiaTheme="minorEastAsia" w:hAnsiTheme="minorEastAsia" w:cs="宋体"/>
          <w:kern w:val="0"/>
          <w:szCs w:val="24"/>
        </w:rPr>
        <w:t>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bookmarkEnd w:id="236"/>
    </w:p>
    <w:p w14:paraId="522EE03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C</w:t>
      </w:r>
      <w:r w:rsidRPr="006F4D70">
        <w:rPr>
          <w:rFonts w:asciiTheme="minorEastAsia" w:eastAsiaTheme="minorEastAsia" w:hAnsiTheme="minorEastAsia" w:cs="宋体" w:hint="eastAsia"/>
          <w:kern w:val="0"/>
          <w:szCs w:val="24"/>
        </w:rPr>
        <w:t>类基金份额的销售服务费</w:t>
      </w:r>
    </w:p>
    <w:p w14:paraId="6B5C3FFF" w14:textId="5BFC9C0E"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w:t>
      </w:r>
      <w:r w:rsidRPr="006F4D70">
        <w:rPr>
          <w:rFonts w:asciiTheme="minorEastAsia" w:eastAsiaTheme="minorEastAsia" w:hAnsiTheme="minorEastAsia" w:cs="宋体"/>
          <w:kern w:val="0"/>
          <w:szCs w:val="24"/>
        </w:rPr>
        <w:t>A</w:t>
      </w:r>
      <w:r w:rsidRPr="006F4D70">
        <w:rPr>
          <w:rFonts w:asciiTheme="minorEastAsia" w:eastAsiaTheme="minorEastAsia" w:hAnsiTheme="minorEastAsia" w:cs="宋体" w:hint="eastAsia"/>
          <w:kern w:val="0"/>
          <w:szCs w:val="24"/>
        </w:rPr>
        <w:t>类基金份额不收取销售服务费，本基金</w:t>
      </w:r>
      <w:r w:rsidRPr="006F4D70">
        <w:rPr>
          <w:rFonts w:asciiTheme="minorEastAsia" w:eastAsiaTheme="minorEastAsia" w:hAnsiTheme="minorEastAsia" w:cs="宋体"/>
          <w:kern w:val="0"/>
          <w:szCs w:val="24"/>
        </w:rPr>
        <w:t>C</w:t>
      </w:r>
      <w:r w:rsidRPr="006F4D70">
        <w:rPr>
          <w:rFonts w:asciiTheme="minorEastAsia" w:eastAsiaTheme="minorEastAsia" w:hAnsiTheme="minorEastAsia" w:cs="宋体" w:hint="eastAsia"/>
          <w:kern w:val="0"/>
          <w:szCs w:val="24"/>
        </w:rPr>
        <w:t>类基金份额的销售服务费按前一日</w:t>
      </w:r>
      <w:r w:rsidRPr="006F4D70">
        <w:rPr>
          <w:rFonts w:asciiTheme="minorEastAsia" w:eastAsiaTheme="minorEastAsia" w:hAnsiTheme="minorEastAsia" w:cs="宋体"/>
          <w:kern w:val="0"/>
          <w:szCs w:val="24"/>
        </w:rPr>
        <w:t>C</w:t>
      </w:r>
      <w:r w:rsidRPr="006F4D70">
        <w:rPr>
          <w:rFonts w:asciiTheme="minorEastAsia" w:eastAsiaTheme="minorEastAsia" w:hAnsiTheme="minorEastAsia" w:cs="宋体" w:hint="eastAsia"/>
          <w:kern w:val="0"/>
          <w:szCs w:val="24"/>
        </w:rPr>
        <w:t>类基金份额的基金资产净值的</w:t>
      </w:r>
      <w:r w:rsidRPr="006F4D70">
        <w:rPr>
          <w:rFonts w:asciiTheme="minorEastAsia" w:eastAsiaTheme="minorEastAsia" w:hAnsiTheme="minorEastAsia" w:cs="宋体"/>
          <w:kern w:val="0"/>
          <w:szCs w:val="24"/>
        </w:rPr>
        <w:t>0.</w:t>
      </w:r>
      <w:r w:rsidR="00395CF7">
        <w:rPr>
          <w:rFonts w:asciiTheme="minorEastAsia" w:eastAsiaTheme="minorEastAsia" w:hAnsiTheme="minorEastAsia" w:cs="宋体" w:hint="eastAsia"/>
          <w:kern w:val="0"/>
          <w:szCs w:val="24"/>
        </w:rPr>
        <w:t>40</w:t>
      </w:r>
      <w:r w:rsidRPr="006F4D70">
        <w:rPr>
          <w:rFonts w:asciiTheme="minorEastAsia" w:eastAsiaTheme="minorEastAsia" w:hAnsiTheme="minorEastAsia" w:cs="宋体"/>
          <w:kern w:val="0"/>
          <w:szCs w:val="24"/>
        </w:rPr>
        <w:t>%</w:t>
      </w:r>
      <w:r w:rsidRPr="006F4D70">
        <w:rPr>
          <w:rFonts w:asciiTheme="minorEastAsia" w:eastAsiaTheme="minorEastAsia" w:hAnsiTheme="minorEastAsia" w:cs="宋体" w:hint="eastAsia"/>
          <w:kern w:val="0"/>
          <w:szCs w:val="24"/>
        </w:rPr>
        <w:t>的年费率计提。计算方法如下：</w:t>
      </w:r>
      <w:r w:rsidRPr="006F4D70">
        <w:rPr>
          <w:rFonts w:asciiTheme="minorEastAsia" w:eastAsiaTheme="minorEastAsia" w:hAnsiTheme="minorEastAsia" w:cs="宋体"/>
          <w:kern w:val="0"/>
          <w:szCs w:val="24"/>
        </w:rPr>
        <w:t xml:space="preserve"> </w:t>
      </w:r>
    </w:p>
    <w:p w14:paraId="4D1010C6" w14:textId="483A0BA9"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H</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E</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0.</w:t>
      </w:r>
      <w:r w:rsidR="00395CF7">
        <w:rPr>
          <w:rFonts w:asciiTheme="minorEastAsia" w:eastAsiaTheme="minorEastAsia" w:hAnsiTheme="minorEastAsia" w:cs="宋体" w:hint="eastAsia"/>
          <w:kern w:val="0"/>
          <w:szCs w:val="24"/>
        </w:rPr>
        <w:t>40</w:t>
      </w:r>
      <w:r w:rsidRPr="006F4D70">
        <w:rPr>
          <w:rFonts w:asciiTheme="minorEastAsia" w:eastAsiaTheme="minorEastAsia" w:hAnsiTheme="minorEastAsia" w:cs="宋体"/>
          <w:kern w:val="0"/>
          <w:szCs w:val="24"/>
        </w:rPr>
        <w:t>%</w:t>
      </w:r>
      <w:r w:rsidRPr="006F4D70">
        <w:rPr>
          <w:rFonts w:asciiTheme="minorEastAsia" w:eastAsiaTheme="minorEastAsia" w:hAnsiTheme="minorEastAsia" w:cs="宋体" w:hint="eastAsia"/>
          <w:kern w:val="0"/>
          <w:szCs w:val="24"/>
        </w:rPr>
        <w:t>÷当年天数</w:t>
      </w:r>
      <w:r w:rsidRPr="006F4D70">
        <w:rPr>
          <w:rFonts w:asciiTheme="minorEastAsia" w:eastAsiaTheme="minorEastAsia" w:hAnsiTheme="minorEastAsia" w:cs="宋体"/>
          <w:kern w:val="0"/>
          <w:szCs w:val="24"/>
        </w:rPr>
        <w:t xml:space="preserve"> </w:t>
      </w:r>
    </w:p>
    <w:p w14:paraId="7C604E9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H</w:t>
      </w:r>
      <w:r w:rsidRPr="006F4D70">
        <w:rPr>
          <w:rFonts w:asciiTheme="minorEastAsia" w:eastAsiaTheme="minorEastAsia" w:hAnsiTheme="minorEastAsia" w:cs="宋体" w:hint="eastAsia"/>
          <w:kern w:val="0"/>
          <w:szCs w:val="24"/>
        </w:rPr>
        <w:t>为</w:t>
      </w:r>
      <w:r w:rsidRPr="006F4D70">
        <w:rPr>
          <w:rFonts w:asciiTheme="minorEastAsia" w:eastAsiaTheme="minorEastAsia" w:hAnsiTheme="minorEastAsia" w:cs="宋体"/>
          <w:kern w:val="0"/>
          <w:szCs w:val="24"/>
        </w:rPr>
        <w:t>C</w:t>
      </w:r>
      <w:r w:rsidRPr="006F4D70">
        <w:rPr>
          <w:rFonts w:asciiTheme="minorEastAsia" w:eastAsiaTheme="minorEastAsia" w:hAnsiTheme="minorEastAsia" w:cs="宋体" w:hint="eastAsia"/>
          <w:kern w:val="0"/>
          <w:szCs w:val="24"/>
        </w:rPr>
        <w:t>类基金份额每日应计提的销售服务费</w:t>
      </w:r>
      <w:r w:rsidRPr="006F4D70">
        <w:rPr>
          <w:rFonts w:asciiTheme="minorEastAsia" w:eastAsiaTheme="minorEastAsia" w:hAnsiTheme="minorEastAsia" w:cs="宋体"/>
          <w:kern w:val="0"/>
          <w:szCs w:val="24"/>
        </w:rPr>
        <w:t xml:space="preserve"> </w:t>
      </w:r>
    </w:p>
    <w:p w14:paraId="15B344A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E</w:t>
      </w:r>
      <w:r w:rsidRPr="006F4D70">
        <w:rPr>
          <w:rFonts w:asciiTheme="minorEastAsia" w:eastAsiaTheme="minorEastAsia" w:hAnsiTheme="minorEastAsia" w:cs="宋体" w:hint="eastAsia"/>
          <w:kern w:val="0"/>
          <w:szCs w:val="24"/>
        </w:rPr>
        <w:t>为前一日</w:t>
      </w:r>
      <w:r w:rsidRPr="006F4D70">
        <w:rPr>
          <w:rFonts w:asciiTheme="minorEastAsia" w:eastAsiaTheme="minorEastAsia" w:hAnsiTheme="minorEastAsia" w:cs="宋体"/>
          <w:kern w:val="0"/>
          <w:szCs w:val="24"/>
        </w:rPr>
        <w:t>C</w:t>
      </w:r>
      <w:r w:rsidRPr="006F4D70">
        <w:rPr>
          <w:rFonts w:asciiTheme="minorEastAsia" w:eastAsiaTheme="minorEastAsia" w:hAnsiTheme="minorEastAsia" w:cs="宋体" w:hint="eastAsia"/>
          <w:kern w:val="0"/>
          <w:szCs w:val="24"/>
        </w:rPr>
        <w:t>类基金份额的基金资产净值</w:t>
      </w:r>
      <w:r w:rsidRPr="006F4D70">
        <w:rPr>
          <w:rFonts w:asciiTheme="minorEastAsia" w:eastAsiaTheme="minorEastAsia" w:hAnsiTheme="minorEastAsia" w:cs="宋体"/>
          <w:kern w:val="0"/>
          <w:szCs w:val="24"/>
        </w:rPr>
        <w:t xml:space="preserve"> </w:t>
      </w:r>
    </w:p>
    <w:p w14:paraId="3FB3ED50" w14:textId="77777777" w:rsidR="00395CF7" w:rsidRPr="00EA122B" w:rsidRDefault="00395CF7" w:rsidP="00395CF7">
      <w:pPr>
        <w:ind w:firstLine="480"/>
        <w:rPr>
          <w:bCs/>
        </w:rPr>
      </w:pPr>
      <w:r w:rsidRPr="00EA122B">
        <w:rPr>
          <w:rFonts w:hint="eastAsia"/>
          <w:bCs/>
        </w:rPr>
        <w:t>（</w:t>
      </w:r>
      <w:r w:rsidRPr="00EA122B">
        <w:rPr>
          <w:rFonts w:hint="eastAsia"/>
          <w:bCs/>
        </w:rPr>
        <w:t>1</w:t>
      </w:r>
      <w:r w:rsidRPr="00EA122B">
        <w:rPr>
          <w:rFonts w:hint="eastAsia"/>
          <w:bCs/>
        </w:rPr>
        <w:t>）基金管理人直销机构：</w:t>
      </w:r>
    </w:p>
    <w:p w14:paraId="74A3DC44" w14:textId="77777777" w:rsidR="00395CF7" w:rsidRPr="00EA122B" w:rsidRDefault="00395CF7" w:rsidP="00395CF7">
      <w:pPr>
        <w:ind w:firstLine="480"/>
        <w:rPr>
          <w:bCs/>
        </w:rPr>
      </w:pPr>
      <w:r w:rsidRPr="00EA122B">
        <w:rPr>
          <w:rFonts w:hint="eastAsia"/>
          <w:bCs/>
        </w:rPr>
        <w:t>对于</w:t>
      </w:r>
      <w:r w:rsidRPr="00EA122B">
        <w:rPr>
          <w:rFonts w:hint="eastAsia"/>
          <w:bCs/>
        </w:rPr>
        <w:t>C</w:t>
      </w:r>
      <w:r w:rsidRPr="00EA122B">
        <w:rPr>
          <w:rFonts w:hint="eastAsia"/>
          <w:bCs/>
        </w:rPr>
        <w:t>类基金份额收取的销售服务费，在投资人赎回基金份额或基金合同终止时随赎回款或清算款一并返还给投资人。</w:t>
      </w:r>
      <w:r w:rsidRPr="00A3086B">
        <w:rPr>
          <w:bCs/>
        </w:rPr>
        <w:t>若遇法定节假日、休息日或不可抗力等致使无法按时支付的，顺延至最近可支付日支付。</w:t>
      </w:r>
    </w:p>
    <w:p w14:paraId="5036A28A" w14:textId="77777777" w:rsidR="00395CF7" w:rsidRPr="00EA122B" w:rsidRDefault="00395CF7" w:rsidP="00395CF7">
      <w:pPr>
        <w:ind w:firstLine="480"/>
        <w:rPr>
          <w:bCs/>
        </w:rPr>
      </w:pPr>
      <w:r w:rsidRPr="00EA122B">
        <w:rPr>
          <w:rFonts w:hint="eastAsia"/>
          <w:bCs/>
        </w:rPr>
        <w:t>（</w:t>
      </w:r>
      <w:r w:rsidRPr="00EA122B">
        <w:rPr>
          <w:rFonts w:hint="eastAsia"/>
          <w:bCs/>
        </w:rPr>
        <w:t>2</w:t>
      </w:r>
      <w:r w:rsidRPr="00EA122B">
        <w:rPr>
          <w:rFonts w:hint="eastAsia"/>
          <w:bCs/>
        </w:rPr>
        <w:t>）其他销售机构：</w:t>
      </w:r>
    </w:p>
    <w:p w14:paraId="195DA033" w14:textId="02AE85D9" w:rsidR="00595296" w:rsidRPr="006F4D70" w:rsidRDefault="00395CF7" w:rsidP="00395CF7">
      <w:pPr>
        <w:autoSpaceDE w:val="0"/>
        <w:autoSpaceDN w:val="0"/>
        <w:adjustRightInd w:val="0"/>
        <w:ind w:firstLine="480"/>
        <w:rPr>
          <w:rFonts w:asciiTheme="minorEastAsia" w:eastAsiaTheme="minorEastAsia" w:hAnsiTheme="minorEastAsia" w:cs="宋体"/>
          <w:kern w:val="0"/>
          <w:szCs w:val="24"/>
        </w:rPr>
      </w:pPr>
      <w:r w:rsidRPr="00EA122B">
        <w:rPr>
          <w:rFonts w:hint="eastAsia"/>
          <w:bCs/>
        </w:rPr>
        <w:t>对于投资人持续持有期限</w:t>
      </w:r>
      <w:r w:rsidR="00345073">
        <w:rPr>
          <w:rFonts w:hint="eastAsia"/>
          <w:bCs/>
        </w:rPr>
        <w:t>未超过</w:t>
      </w:r>
      <w:r w:rsidRPr="00EA122B">
        <w:rPr>
          <w:rFonts w:hint="eastAsia"/>
          <w:bCs/>
        </w:rPr>
        <w:t>一年（即</w:t>
      </w:r>
      <w:r w:rsidRPr="00EA122B">
        <w:rPr>
          <w:rFonts w:hint="eastAsia"/>
          <w:bCs/>
        </w:rPr>
        <w:t>365</w:t>
      </w:r>
      <w:r w:rsidRPr="00EA122B">
        <w:rPr>
          <w:rFonts w:hint="eastAsia"/>
          <w:bCs/>
        </w:rPr>
        <w:t>天</w:t>
      </w:r>
      <w:r w:rsidR="00345073">
        <w:rPr>
          <w:rFonts w:hint="eastAsia"/>
          <w:bCs/>
        </w:rPr>
        <w:t>，下同</w:t>
      </w:r>
      <w:r w:rsidRPr="00EA122B">
        <w:rPr>
          <w:rFonts w:hint="eastAsia"/>
          <w:bCs/>
        </w:rPr>
        <w:t>）的</w:t>
      </w:r>
      <w:r w:rsidRPr="00EA122B">
        <w:rPr>
          <w:rFonts w:hint="eastAsia"/>
          <w:bCs/>
        </w:rPr>
        <w:t>C</w:t>
      </w:r>
      <w:r w:rsidRPr="00EA122B">
        <w:rPr>
          <w:rFonts w:hint="eastAsia"/>
          <w:bCs/>
        </w:rPr>
        <w:t>类基金份额收取的销售服务费，</w:t>
      </w:r>
      <w:r w:rsidR="002B7F4D" w:rsidRPr="006F4D70">
        <w:rPr>
          <w:rFonts w:asciiTheme="minorEastAsia" w:eastAsiaTheme="minorEastAsia" w:hAnsiTheme="minorEastAsia" w:cs="宋体" w:hint="eastAsia"/>
          <w:kern w:val="0"/>
          <w:szCs w:val="24"/>
        </w:rPr>
        <w:t>销售服务费每日计提，逐日累计至每月月末，按月支付。自动在次月月初</w:t>
      </w:r>
      <w:r w:rsidR="002B7F4D" w:rsidRPr="006F4D70">
        <w:rPr>
          <w:rFonts w:asciiTheme="minorEastAsia" w:eastAsiaTheme="minorEastAsia" w:hAnsiTheme="minorEastAsia" w:cs="宋体"/>
          <w:kern w:val="0"/>
          <w:szCs w:val="24"/>
        </w:rPr>
        <w:t>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63D8373E" w14:textId="330937E1" w:rsidR="00395CF7" w:rsidRDefault="00395CF7" w:rsidP="00395CF7">
      <w:pPr>
        <w:autoSpaceDE w:val="0"/>
        <w:autoSpaceDN w:val="0"/>
        <w:ind w:firstLine="480"/>
        <w:rPr>
          <w:rFonts w:ascii="宋体" w:hAnsi="Calibri" w:cs="宋体"/>
          <w:szCs w:val="24"/>
        </w:rPr>
      </w:pPr>
      <w:r w:rsidRPr="006864E6">
        <w:rPr>
          <w:rFonts w:ascii="宋体" w:hAnsi="Calibri" w:cs="宋体" w:hint="eastAsia"/>
          <w:szCs w:val="24"/>
        </w:rPr>
        <w:t>对于持续持有期限超过一年的C类基金份额继续收取的销售服务费，在投资人赎回基金份额或基金合同终止时，随赎回款或清算款一并返还给投资人。</w:t>
      </w:r>
      <w:r w:rsidRPr="006864E6">
        <w:rPr>
          <w:rFonts w:ascii="宋体" w:hAnsi="Calibri" w:cs="宋体"/>
          <w:bCs/>
          <w:szCs w:val="24"/>
        </w:rPr>
        <w:t>若遇法定节假日、休息日或不可抗力等致使无法按时支付的，顺延至最近可支付日支付。</w:t>
      </w:r>
    </w:p>
    <w:p w14:paraId="37D77CB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上述“一、基金费用的种类”中第4－1</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项费用，根据有关法规及相应协议</w:t>
      </w:r>
      <w:r w:rsidRPr="006F4D70">
        <w:rPr>
          <w:rFonts w:asciiTheme="minorEastAsia" w:eastAsiaTheme="minorEastAsia" w:hAnsiTheme="minorEastAsia" w:cs="宋体" w:hint="eastAsia"/>
          <w:kern w:val="0"/>
          <w:szCs w:val="24"/>
        </w:rPr>
        <w:lastRenderedPageBreak/>
        <w:t>规定，按费用实际支出金额列入当期费用，由基金托管人从基金财产中支付。</w:t>
      </w:r>
    </w:p>
    <w:p w14:paraId="60D8A7E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三、不列入基金费用的项目</w:t>
      </w:r>
    </w:p>
    <w:p w14:paraId="72AD91C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下列费用不列入基金费用：</w:t>
      </w:r>
    </w:p>
    <w:p w14:paraId="07BE186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、基金管理人和基金托管人因未履行或未完全履行义务导致的费用支出或基金财产的损失；</w:t>
      </w:r>
    </w:p>
    <w:p w14:paraId="22BAAED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、基金管理人和基金托管人处理与基金运作无关的事项发生的费用；</w:t>
      </w:r>
    </w:p>
    <w:p w14:paraId="6ED220E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、《基金合同》生效前的相关费用，包括但不限于验资费、会计师和律师费、信息披露费用等费用；</w:t>
      </w:r>
    </w:p>
    <w:p w14:paraId="0E4543F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、其他根据相关法律法规及中国证监会的有关规定不得列入基金费用的项目。</w:t>
      </w:r>
      <w:bookmarkStart w:id="237" w:name="_Hlt88827255"/>
      <w:bookmarkEnd w:id="237"/>
    </w:p>
    <w:p w14:paraId="124D32ED" w14:textId="77777777" w:rsidR="00595296" w:rsidRPr="006F4D70" w:rsidRDefault="002B7F4D">
      <w:pPr>
        <w:autoSpaceDE w:val="0"/>
        <w:autoSpaceDN w:val="0"/>
        <w:adjustRightInd w:val="0"/>
        <w:ind w:firstLine="482"/>
        <w:jc w:val="left"/>
        <w:rPr>
          <w:rFonts w:asciiTheme="minorEastAsia" w:eastAsiaTheme="minorEastAsia" w:hAnsiTheme="minorEastAsia"/>
          <w:kern w:val="0"/>
        </w:rPr>
      </w:pPr>
      <w:r w:rsidRPr="006F4D70">
        <w:rPr>
          <w:rFonts w:asciiTheme="minorEastAsia" w:eastAsiaTheme="minorEastAsia" w:hAnsiTheme="minorEastAsia" w:cs="宋体" w:hint="eastAsia"/>
          <w:b/>
          <w:bCs/>
          <w:kern w:val="0"/>
          <w:szCs w:val="24"/>
        </w:rPr>
        <w:t>四、</w:t>
      </w:r>
      <w:r w:rsidRPr="006F4D70">
        <w:rPr>
          <w:rFonts w:asciiTheme="minorEastAsia" w:eastAsiaTheme="minorEastAsia" w:hAnsiTheme="minorEastAsia" w:hint="eastAsia"/>
          <w:b/>
          <w:kern w:val="0"/>
        </w:rPr>
        <w:t>费用调整</w:t>
      </w:r>
    </w:p>
    <w:p w14:paraId="36A7598F" w14:textId="29CA5A95" w:rsidR="00595296" w:rsidRPr="006F4D70" w:rsidRDefault="002B7F4D">
      <w:pPr>
        <w:autoSpaceDE w:val="0"/>
        <w:autoSpaceDN w:val="0"/>
        <w:adjustRightInd w:val="0"/>
        <w:ind w:firstLine="480"/>
        <w:rPr>
          <w:rFonts w:asciiTheme="minorEastAsia" w:eastAsiaTheme="minorEastAsia" w:hAnsiTheme="minorEastAsia"/>
          <w:kern w:val="0"/>
        </w:rPr>
      </w:pPr>
      <w:r w:rsidRPr="006F4D70">
        <w:rPr>
          <w:rFonts w:asciiTheme="minorEastAsia" w:eastAsiaTheme="minorEastAsia" w:hAnsiTheme="minorEastAsia" w:hint="eastAsia"/>
          <w:kern w:val="0"/>
        </w:rPr>
        <w:t>在对基金份额持有人利益无实质性不利影响的前提下，基金管理人和基金托管人协商一致并履行适当程序后，可根据基金发展情况调整基金托管费率和销售服务费率。</w:t>
      </w:r>
      <w:r w:rsidR="00962CD2" w:rsidRPr="006F4D70">
        <w:rPr>
          <w:rFonts w:asciiTheme="minorEastAsia" w:eastAsiaTheme="minorEastAsia" w:hAnsiTheme="minorEastAsia" w:cs="仿宋" w:hint="eastAsia"/>
          <w:bCs/>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4D2383E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hint="eastAsia"/>
          <w:kern w:val="0"/>
        </w:rPr>
        <w:t>基金管理人必须于新的费率实施日前依照《信息披露办法》的有关规定在规定媒介上公告。</w:t>
      </w:r>
    </w:p>
    <w:p w14:paraId="66886DFD" w14:textId="77777777" w:rsidR="00595296" w:rsidRPr="006F4D70" w:rsidRDefault="002B7F4D">
      <w:pPr>
        <w:autoSpaceDE w:val="0"/>
        <w:autoSpaceDN w:val="0"/>
        <w:adjustRightInd w:val="0"/>
        <w:ind w:firstLine="482"/>
        <w:rPr>
          <w:rFonts w:asciiTheme="minorEastAsia" w:eastAsiaTheme="minorEastAsia" w:hAnsiTheme="minorEastAsia"/>
          <w:b/>
          <w:kern w:val="0"/>
        </w:rPr>
      </w:pPr>
      <w:r w:rsidRPr="006F4D70">
        <w:rPr>
          <w:rFonts w:asciiTheme="minorEastAsia" w:eastAsiaTheme="minorEastAsia" w:hAnsiTheme="minorEastAsia" w:cs="宋体" w:hint="eastAsia"/>
          <w:b/>
          <w:bCs/>
          <w:kern w:val="0"/>
          <w:szCs w:val="24"/>
        </w:rPr>
        <w:t>五、</w:t>
      </w:r>
      <w:r w:rsidRPr="006F4D70">
        <w:rPr>
          <w:rFonts w:asciiTheme="minorEastAsia" w:eastAsiaTheme="minorEastAsia" w:hAnsiTheme="minorEastAsia" w:hint="eastAsia"/>
          <w:b/>
          <w:kern w:val="0"/>
        </w:rPr>
        <w:t>实施侧袋机制期间的基金费用</w:t>
      </w:r>
    </w:p>
    <w:p w14:paraId="1AF075C7" w14:textId="1B743ADD" w:rsidR="00595296" w:rsidRPr="006F4D70" w:rsidRDefault="002B7F4D">
      <w:pPr>
        <w:autoSpaceDE w:val="0"/>
        <w:autoSpaceDN w:val="0"/>
        <w:adjustRightInd w:val="0"/>
        <w:ind w:firstLine="480"/>
        <w:rPr>
          <w:rFonts w:asciiTheme="minorEastAsia" w:eastAsiaTheme="minorEastAsia" w:hAnsiTheme="minorEastAsia"/>
          <w:kern w:val="0"/>
        </w:rPr>
      </w:pPr>
      <w:r w:rsidRPr="006F4D70">
        <w:rPr>
          <w:rFonts w:asciiTheme="minorEastAsia" w:eastAsiaTheme="minorEastAsia" w:hAnsiTheme="minorEastAsia" w:hint="eastAsia"/>
          <w:kern w:val="0"/>
        </w:rPr>
        <w:t>本基金实施侧袋机制的，与侧袋账户有关的费用可以从侧袋账户中列支，但应待侧袋账户资产变现后方可列支，有关费用可酌情收取或减免，但不得收取管理费</w:t>
      </w:r>
      <w:r w:rsidR="00631A89" w:rsidRPr="00631A89">
        <w:rPr>
          <w:rFonts w:asciiTheme="minorEastAsia" w:eastAsiaTheme="minorEastAsia" w:hAnsiTheme="minorEastAsia" w:hint="eastAsia"/>
          <w:kern w:val="0"/>
        </w:rPr>
        <w:t>（包括固定管理费、或有管理费和超额管理费）</w:t>
      </w:r>
      <w:r w:rsidRPr="006F4D70">
        <w:rPr>
          <w:rFonts w:asciiTheme="minorEastAsia" w:eastAsiaTheme="minorEastAsia" w:hAnsiTheme="minorEastAsia" w:hint="eastAsia"/>
          <w:kern w:val="0"/>
        </w:rPr>
        <w:t>，详见招募说明书的规定。</w:t>
      </w:r>
    </w:p>
    <w:p w14:paraId="15E3183B"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六、基金税收</w:t>
      </w:r>
    </w:p>
    <w:p w14:paraId="4425471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525AF12" w14:textId="77777777" w:rsidR="00595296" w:rsidRPr="006F4D70" w:rsidRDefault="002B7F4D">
      <w:pPr>
        <w:widowControl/>
        <w:ind w:firstLine="480"/>
        <w:jc w:val="left"/>
        <w:rPr>
          <w:rFonts w:asciiTheme="minorEastAsia" w:eastAsiaTheme="minorEastAsia" w:hAnsiTheme="minorEastAsia"/>
        </w:rPr>
      </w:pPr>
      <w:bookmarkStart w:id="238" w:name="_Toc377998631"/>
      <w:bookmarkEnd w:id="215"/>
      <w:r w:rsidRPr="006F4D70">
        <w:rPr>
          <w:rFonts w:asciiTheme="minorEastAsia" w:eastAsiaTheme="minorEastAsia" w:hAnsiTheme="minorEastAsia"/>
        </w:rPr>
        <w:br w:type="page"/>
      </w:r>
    </w:p>
    <w:p w14:paraId="71BA44B1" w14:textId="77777777" w:rsidR="00595296" w:rsidRPr="006F4D70" w:rsidRDefault="002B7F4D">
      <w:pPr>
        <w:pStyle w:val="1"/>
        <w:ind w:firstLine="602"/>
        <w:rPr>
          <w:rFonts w:asciiTheme="minorEastAsia" w:eastAsiaTheme="minorEastAsia" w:hAnsiTheme="minorEastAsia"/>
          <w:kern w:val="0"/>
        </w:rPr>
      </w:pPr>
      <w:bookmarkStart w:id="239" w:name="_Toc198902628"/>
      <w:r w:rsidRPr="006F4D70">
        <w:rPr>
          <w:rFonts w:asciiTheme="minorEastAsia" w:eastAsiaTheme="minorEastAsia" w:hAnsiTheme="minorEastAsia" w:hint="eastAsia"/>
          <w:kern w:val="0"/>
        </w:rPr>
        <w:lastRenderedPageBreak/>
        <w:t>第十六部分    基金的收益与分配</w:t>
      </w:r>
      <w:bookmarkEnd w:id="238"/>
      <w:bookmarkEnd w:id="239"/>
    </w:p>
    <w:p w14:paraId="11EA1D82"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240" w:name="_Hlk131362114"/>
      <w:r w:rsidRPr="006F4D70">
        <w:rPr>
          <w:rFonts w:asciiTheme="minorEastAsia" w:eastAsiaTheme="minorEastAsia" w:hAnsiTheme="minorEastAsia" w:cs="宋体" w:hint="eastAsia"/>
          <w:b/>
          <w:bCs/>
          <w:kern w:val="0"/>
          <w:szCs w:val="24"/>
        </w:rPr>
        <w:t>一、基金利润的构成</w:t>
      </w:r>
    </w:p>
    <w:p w14:paraId="5D7ACA9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基金利润指基金利息收入、投资收益、公允价值变动收益和其他收入扣除相关费用后的余额，基金已实现收益指基金利润减去公允价值变动收益后的余额。</w:t>
      </w:r>
    </w:p>
    <w:p w14:paraId="4ABAA57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二、基金可供分配利润</w:t>
      </w:r>
    </w:p>
    <w:p w14:paraId="756AE9A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基金可供分配利润指截至收益分配基准日基金未分配利润与未分配利润中已实现收益的孰低数。</w:t>
      </w:r>
    </w:p>
    <w:p w14:paraId="21926537"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三、基金收益分配原则</w:t>
      </w:r>
    </w:p>
    <w:p w14:paraId="0841B5A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本基金收益分配应遵循下列原则：</w:t>
      </w:r>
    </w:p>
    <w:p w14:paraId="5BE2131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1、在符合有关基金分红条件的前提下，本基金管理人可以根据实际情况进行收益分配，具体分配方案以公告为准，若《基金合同》生效不满3个月则可不进行收益分配；</w:t>
      </w:r>
    </w:p>
    <w:p w14:paraId="0B025FC0" w14:textId="050657CD"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、本基金收益分配仅有现金分红一种方式；</w:t>
      </w:r>
    </w:p>
    <w:p w14:paraId="752003C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3、基金收益分配后各类基金份额净值不能低于面值，即基金收益分配基准日的某类基金份额净值减去每单位该类基金份额收益分配金额后不能低于面值；</w:t>
      </w:r>
    </w:p>
    <w:p w14:paraId="683E61AE" w14:textId="7CFC65CC"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4、本基金同一类别的每份基金份额享有同等分配权，由于本基金各类基金份额收取销售服务费情况不同，各基金份额类别对应的可供分配利润将有所不同</w:t>
      </w:r>
      <w:r w:rsidR="0069290C" w:rsidRPr="00A8717F">
        <w:rPr>
          <w:rFonts w:cs="宋体" w:hint="eastAsia"/>
          <w:kern w:val="0"/>
          <w:szCs w:val="24"/>
        </w:rPr>
        <w:t>，</w:t>
      </w:r>
      <w:r w:rsidR="0069290C" w:rsidRPr="0069290C">
        <w:rPr>
          <w:rFonts w:asciiTheme="minorEastAsia" w:eastAsiaTheme="minorEastAsia" w:hAnsiTheme="minorEastAsia" w:cs="宋体" w:hint="eastAsia"/>
          <w:kern w:val="0"/>
          <w:szCs w:val="24"/>
        </w:rPr>
        <w:t>基金管理人可对各类别基金份额分别制定收益分配方案</w:t>
      </w:r>
      <w:r w:rsidRPr="006F4D70">
        <w:rPr>
          <w:rFonts w:asciiTheme="minorEastAsia" w:eastAsiaTheme="minorEastAsia" w:hAnsiTheme="minorEastAsia" w:cs="宋体" w:hint="eastAsia"/>
          <w:kern w:val="0"/>
          <w:szCs w:val="24"/>
        </w:rPr>
        <w:t>；</w:t>
      </w:r>
    </w:p>
    <w:p w14:paraId="3C362F7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5、法律法规或监管机关另有规定的，从其规定。</w:t>
      </w:r>
    </w:p>
    <w:p w14:paraId="05C6FD16" w14:textId="2484FB9E" w:rsidR="00595296" w:rsidRPr="006F4D70" w:rsidRDefault="0069290C">
      <w:pPr>
        <w:autoSpaceDE w:val="0"/>
        <w:autoSpaceDN w:val="0"/>
        <w:adjustRightInd w:val="0"/>
        <w:ind w:firstLine="480"/>
        <w:rPr>
          <w:rFonts w:asciiTheme="minorEastAsia" w:eastAsiaTheme="minorEastAsia" w:hAnsiTheme="minorEastAsia" w:cs="宋体"/>
          <w:kern w:val="0"/>
          <w:szCs w:val="24"/>
        </w:rPr>
      </w:pPr>
      <w:r w:rsidRPr="0069290C">
        <w:rPr>
          <w:rFonts w:asciiTheme="minorEastAsia" w:eastAsiaTheme="minorEastAsia" w:hAnsiTheme="minorEastAsia" w:cs="宋体" w:hint="eastAsia"/>
          <w:kern w:val="0"/>
          <w:szCs w:val="24"/>
        </w:rPr>
        <w:t>在不违反法律法规且对基金份额持有人利益无实质性不利影响的前提下，基金管理人在履行适当程序后可酌情调整以上基金收益分配原则，但应于变更实施日前在规定媒介公告。</w:t>
      </w:r>
    </w:p>
    <w:p w14:paraId="3DE7F236"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四、收益分配方案</w:t>
      </w:r>
    </w:p>
    <w:p w14:paraId="0643C47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基金收益分配方案中应载明截至基金收益分配基准日的可供分配利润、基金收益分配对象、分配时间、分配数额及比例、分配方式等内容。</w:t>
      </w:r>
    </w:p>
    <w:p w14:paraId="7F21CDEF" w14:textId="77777777" w:rsidR="00631A89" w:rsidRPr="00967DCD" w:rsidRDefault="002B7F4D" w:rsidP="00631A89">
      <w:pPr>
        <w:autoSpaceDE w:val="0"/>
        <w:autoSpaceDN w:val="0"/>
        <w:adjustRightInd w:val="0"/>
        <w:ind w:firstLine="482"/>
        <w:rPr>
          <w:rFonts w:asciiTheme="minorEastAsia" w:eastAsiaTheme="minorEastAsia" w:hAnsiTheme="minorEastAsia" w:cs="宋体"/>
          <w:kern w:val="0"/>
          <w:szCs w:val="24"/>
        </w:rPr>
      </w:pPr>
      <w:r w:rsidRPr="006F4D70">
        <w:rPr>
          <w:rFonts w:asciiTheme="minorEastAsia" w:eastAsiaTheme="minorEastAsia" w:hAnsiTheme="minorEastAsia" w:cs="宋体" w:hint="eastAsia"/>
          <w:b/>
          <w:kern w:val="0"/>
          <w:szCs w:val="24"/>
        </w:rPr>
        <w:t>五、</w:t>
      </w:r>
      <w:r w:rsidR="00631A89" w:rsidRPr="00631A89">
        <w:rPr>
          <w:rFonts w:asciiTheme="minorEastAsia" w:eastAsiaTheme="minorEastAsia" w:hAnsiTheme="minorEastAsia" w:cs="宋体" w:hint="eastAsia"/>
          <w:b/>
          <w:kern w:val="0"/>
          <w:szCs w:val="24"/>
        </w:rPr>
        <w:t>基金收益分配中发生的费用</w:t>
      </w:r>
      <w:r w:rsidR="00631A89" w:rsidRPr="00631A89">
        <w:rPr>
          <w:rFonts w:asciiTheme="minorEastAsia" w:eastAsiaTheme="minorEastAsia" w:hAnsiTheme="minorEastAsia" w:cs="宋体"/>
          <w:b/>
          <w:kern w:val="0"/>
          <w:szCs w:val="24"/>
        </w:rPr>
        <w:t xml:space="preserve"> </w:t>
      </w:r>
    </w:p>
    <w:p w14:paraId="4EE63DF6" w14:textId="77777777" w:rsidR="00631A89" w:rsidRPr="00967DCD" w:rsidRDefault="00631A89" w:rsidP="00631A89">
      <w:pPr>
        <w:autoSpaceDE w:val="0"/>
        <w:autoSpaceDN w:val="0"/>
        <w:adjustRightInd w:val="0"/>
        <w:ind w:firstLine="480"/>
        <w:rPr>
          <w:rFonts w:asciiTheme="minorEastAsia" w:eastAsiaTheme="minorEastAsia" w:hAnsiTheme="minorEastAsia" w:cs="宋体"/>
          <w:kern w:val="0"/>
          <w:szCs w:val="24"/>
        </w:rPr>
      </w:pPr>
      <w:r w:rsidRPr="00967DCD">
        <w:rPr>
          <w:rFonts w:asciiTheme="minorEastAsia" w:eastAsiaTheme="minorEastAsia" w:hAnsiTheme="minorEastAsia" w:cs="宋体" w:hint="eastAsia"/>
          <w:kern w:val="0"/>
          <w:szCs w:val="24"/>
        </w:rPr>
        <w:t>基金收益分配时所发生的银行转账或其他手续费用由投资者自行承担。</w:t>
      </w:r>
      <w:r w:rsidRPr="00967DCD">
        <w:rPr>
          <w:rFonts w:asciiTheme="minorEastAsia" w:eastAsiaTheme="minorEastAsia" w:hAnsiTheme="minorEastAsia" w:cs="宋体"/>
          <w:kern w:val="0"/>
          <w:szCs w:val="24"/>
        </w:rPr>
        <w:t xml:space="preserve"> </w:t>
      </w:r>
    </w:p>
    <w:p w14:paraId="70D470E0" w14:textId="79F67D26" w:rsidR="00595296" w:rsidRPr="006F4D70" w:rsidRDefault="00631A89" w:rsidP="00631A89">
      <w:pPr>
        <w:autoSpaceDE w:val="0"/>
        <w:autoSpaceDN w:val="0"/>
        <w:adjustRightInd w:val="0"/>
        <w:ind w:firstLine="482"/>
        <w:rPr>
          <w:rFonts w:asciiTheme="minorEastAsia" w:eastAsiaTheme="minorEastAsia" w:hAnsiTheme="minorEastAsia" w:cs="宋体"/>
          <w:b/>
          <w:kern w:val="0"/>
          <w:szCs w:val="24"/>
        </w:rPr>
      </w:pPr>
      <w:r>
        <w:rPr>
          <w:rFonts w:asciiTheme="minorEastAsia" w:eastAsiaTheme="minorEastAsia" w:hAnsiTheme="minorEastAsia" w:cs="宋体" w:hint="eastAsia"/>
          <w:b/>
          <w:kern w:val="0"/>
          <w:szCs w:val="24"/>
        </w:rPr>
        <w:t>六</w:t>
      </w:r>
      <w:r w:rsidRPr="00631A89">
        <w:rPr>
          <w:rFonts w:asciiTheme="minorEastAsia" w:eastAsiaTheme="minorEastAsia" w:hAnsiTheme="minorEastAsia" w:cs="宋体" w:hint="eastAsia"/>
          <w:b/>
          <w:kern w:val="0"/>
          <w:szCs w:val="24"/>
        </w:rPr>
        <w:t>、</w:t>
      </w:r>
      <w:r w:rsidR="002B7F4D" w:rsidRPr="006F4D70">
        <w:rPr>
          <w:rFonts w:asciiTheme="minorEastAsia" w:eastAsiaTheme="minorEastAsia" w:hAnsiTheme="minorEastAsia" w:cs="宋体" w:hint="eastAsia"/>
          <w:b/>
          <w:kern w:val="0"/>
          <w:szCs w:val="24"/>
        </w:rPr>
        <w:t>收益分配方案的确定、公告与实施</w:t>
      </w:r>
    </w:p>
    <w:p w14:paraId="20FB404E"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lastRenderedPageBreak/>
        <w:t>本基金收益分配方案由基金管理人拟定，并由基金托管人复核，在2日内在规定媒介公告。</w:t>
      </w:r>
    </w:p>
    <w:p w14:paraId="61DEBEC9" w14:textId="5FD98BA2" w:rsidR="00595296" w:rsidRPr="006F4D70" w:rsidRDefault="00631A89">
      <w:pPr>
        <w:ind w:firstLine="482"/>
        <w:rPr>
          <w:rFonts w:asciiTheme="minorEastAsia" w:eastAsiaTheme="minorEastAsia" w:hAnsiTheme="minorEastAsia" w:cs="宋体"/>
          <w:b/>
          <w:kern w:val="0"/>
          <w:szCs w:val="24"/>
        </w:rPr>
      </w:pPr>
      <w:r>
        <w:rPr>
          <w:rFonts w:asciiTheme="minorEastAsia" w:eastAsiaTheme="minorEastAsia" w:hAnsiTheme="minorEastAsia" w:cs="宋体" w:hint="eastAsia"/>
          <w:b/>
          <w:kern w:val="0"/>
          <w:szCs w:val="24"/>
        </w:rPr>
        <w:t>七</w:t>
      </w:r>
      <w:r w:rsidR="002B7F4D" w:rsidRPr="006F4D70">
        <w:rPr>
          <w:rFonts w:asciiTheme="minorEastAsia" w:eastAsiaTheme="minorEastAsia" w:hAnsiTheme="minorEastAsia" w:cs="宋体" w:hint="eastAsia"/>
          <w:b/>
          <w:kern w:val="0"/>
          <w:szCs w:val="24"/>
        </w:rPr>
        <w:t>、实施侧袋机制期间的收益分配</w:t>
      </w:r>
    </w:p>
    <w:p w14:paraId="394A05AE" w14:textId="77777777" w:rsidR="00595296" w:rsidRPr="006F4D70"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本基金实施侧袋机制的，侧袋账户不进行收益分配，详见招募说明书的规定。</w:t>
      </w:r>
    </w:p>
    <w:bookmarkEnd w:id="240"/>
    <w:p w14:paraId="67C8A3D3" w14:textId="62007E30" w:rsidR="00173CCF" w:rsidRDefault="00173CCF">
      <w:pPr>
        <w:widowControl/>
        <w:spacing w:line="240" w:lineRule="auto"/>
        <w:ind w:firstLineChars="0" w:firstLine="0"/>
        <w:jc w:val="lef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br w:type="page"/>
      </w:r>
    </w:p>
    <w:p w14:paraId="1741B7A9" w14:textId="77777777" w:rsidR="00595296" w:rsidRPr="006F4D70" w:rsidRDefault="002B7F4D">
      <w:pPr>
        <w:pStyle w:val="1"/>
        <w:ind w:firstLine="602"/>
        <w:rPr>
          <w:rFonts w:asciiTheme="minorEastAsia" w:eastAsiaTheme="minorEastAsia" w:hAnsiTheme="minorEastAsia"/>
          <w:kern w:val="0"/>
        </w:rPr>
      </w:pPr>
      <w:bookmarkStart w:id="241" w:name="_Toc377998632"/>
      <w:bookmarkStart w:id="242" w:name="_Toc198902629"/>
      <w:r w:rsidRPr="006F4D70">
        <w:rPr>
          <w:rFonts w:asciiTheme="minorEastAsia" w:eastAsiaTheme="minorEastAsia" w:hAnsiTheme="minorEastAsia" w:hint="eastAsia"/>
          <w:kern w:val="0"/>
        </w:rPr>
        <w:lastRenderedPageBreak/>
        <w:t>第十七部分    基金的会计与审计</w:t>
      </w:r>
      <w:bookmarkEnd w:id="241"/>
      <w:bookmarkEnd w:id="242"/>
    </w:p>
    <w:p w14:paraId="4F2F9859"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一、基金会计政策</w:t>
      </w:r>
    </w:p>
    <w:p w14:paraId="6FF472E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、基金管理人为本基金的基金会计责任方；</w:t>
      </w:r>
    </w:p>
    <w:p w14:paraId="0FE83F2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、基金的会计年度为公历年度的</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月</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日至</w:t>
      </w:r>
      <w:r w:rsidRPr="006F4D70">
        <w:rPr>
          <w:rFonts w:asciiTheme="minorEastAsia" w:eastAsiaTheme="minorEastAsia" w:hAnsiTheme="minorEastAsia" w:cs="宋体"/>
          <w:kern w:val="0"/>
          <w:szCs w:val="24"/>
        </w:rPr>
        <w:t>12</w:t>
      </w:r>
      <w:r w:rsidRPr="006F4D70">
        <w:rPr>
          <w:rFonts w:asciiTheme="minorEastAsia" w:eastAsiaTheme="minorEastAsia" w:hAnsiTheme="minorEastAsia" w:cs="宋体" w:hint="eastAsia"/>
          <w:kern w:val="0"/>
          <w:szCs w:val="24"/>
        </w:rPr>
        <w:t>月</w:t>
      </w:r>
      <w:r w:rsidRPr="006F4D70">
        <w:rPr>
          <w:rFonts w:asciiTheme="minorEastAsia" w:eastAsiaTheme="minorEastAsia" w:hAnsiTheme="minorEastAsia" w:cs="宋体"/>
          <w:kern w:val="0"/>
          <w:szCs w:val="24"/>
        </w:rPr>
        <w:t>31</w:t>
      </w:r>
      <w:r w:rsidRPr="006F4D70">
        <w:rPr>
          <w:rFonts w:asciiTheme="minorEastAsia" w:eastAsiaTheme="minorEastAsia" w:hAnsiTheme="minorEastAsia" w:cs="宋体" w:hint="eastAsia"/>
          <w:kern w:val="0"/>
          <w:szCs w:val="24"/>
        </w:rPr>
        <w:t>日；基金首次募集的会计年度按如下原则：如果《基金合同》生效少于</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个月，可以并入下一个会计年度披露；</w:t>
      </w:r>
    </w:p>
    <w:p w14:paraId="5BCBF9D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、基金核算以人民币为记账本位币，以人民币元为记账单位；</w:t>
      </w:r>
    </w:p>
    <w:p w14:paraId="3B3D515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、会计制度执行国家有关会计制度；</w:t>
      </w:r>
    </w:p>
    <w:p w14:paraId="3A65C64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、本基金独立建账、独立核算；</w:t>
      </w:r>
    </w:p>
    <w:p w14:paraId="6D74658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、基金管理人及基金托管人各自保留完整的会计账目、凭证并进行日常的会计核算，按照有关规定编制基金会计报表；</w:t>
      </w:r>
    </w:p>
    <w:p w14:paraId="2569220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7</w:t>
      </w:r>
      <w:r w:rsidRPr="006F4D70">
        <w:rPr>
          <w:rFonts w:asciiTheme="minorEastAsia" w:eastAsiaTheme="minorEastAsia" w:hAnsiTheme="minorEastAsia" w:cs="宋体" w:hint="eastAsia"/>
          <w:kern w:val="0"/>
          <w:szCs w:val="24"/>
        </w:rPr>
        <w:t>、基金托管人每月与基金管理人就基金的会计核算、报表编制等进行核对确认。</w:t>
      </w:r>
    </w:p>
    <w:p w14:paraId="4D4A2800"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二、基金的年度审计</w:t>
      </w:r>
    </w:p>
    <w:p w14:paraId="30ED653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、基金管理人聘请与基金管理人、基金托管人相互独立的符合《中华人民共和国证券法》规定的会计师事务所及其注册会计师对本基金的年度财务报表进行审计。</w:t>
      </w:r>
    </w:p>
    <w:p w14:paraId="1E50A0F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、会计师事务所更换经办注册会计师，应事先征得基金管理人同意。</w:t>
      </w:r>
    </w:p>
    <w:p w14:paraId="163BB6C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w:t>
      </w:r>
      <w:bookmarkStart w:id="243" w:name="_Hlt4221115"/>
      <w:bookmarkEnd w:id="243"/>
      <w:r w:rsidRPr="006F4D70">
        <w:rPr>
          <w:rFonts w:asciiTheme="minorEastAsia" w:eastAsiaTheme="minorEastAsia" w:hAnsiTheme="minorEastAsia" w:cs="宋体" w:hint="eastAsia"/>
          <w:kern w:val="0"/>
          <w:szCs w:val="24"/>
        </w:rPr>
        <w:t>基金管理人认为有充足理由更换会计师事务所，须通报基金托管人。更换会计师事务所需在</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日内在规定媒介公告。</w:t>
      </w:r>
    </w:p>
    <w:p w14:paraId="0BDF35ED" w14:textId="77777777" w:rsidR="00595296" w:rsidRPr="006F4D70" w:rsidRDefault="00595296">
      <w:pPr>
        <w:autoSpaceDE w:val="0"/>
        <w:autoSpaceDN w:val="0"/>
        <w:adjustRightInd w:val="0"/>
        <w:ind w:firstLine="602"/>
        <w:rPr>
          <w:rFonts w:asciiTheme="minorEastAsia" w:eastAsiaTheme="minorEastAsia" w:hAnsiTheme="minorEastAsia" w:cs="宋体"/>
          <w:b/>
          <w:bCs/>
          <w:kern w:val="0"/>
          <w:sz w:val="30"/>
          <w:szCs w:val="30"/>
        </w:rPr>
      </w:pPr>
    </w:p>
    <w:p w14:paraId="0D248BD5" w14:textId="77777777" w:rsidR="00595296" w:rsidRPr="006F4D70" w:rsidRDefault="002B7F4D">
      <w:pPr>
        <w:keepNext/>
        <w:keepLines/>
        <w:ind w:firstLine="480"/>
        <w:rPr>
          <w:rFonts w:asciiTheme="minorEastAsia" w:eastAsiaTheme="minorEastAsia" w:hAnsiTheme="minorEastAsia" w:cs="宋体"/>
          <w:kern w:val="0"/>
          <w:szCs w:val="24"/>
        </w:rPr>
      </w:pPr>
      <w:bookmarkStart w:id="244" w:name="_Toc377998633"/>
      <w:r w:rsidRPr="006F4D70">
        <w:rPr>
          <w:rFonts w:asciiTheme="minorEastAsia" w:eastAsiaTheme="minorEastAsia" w:hAnsiTheme="minorEastAsia" w:cs="宋体"/>
          <w:kern w:val="0"/>
        </w:rPr>
        <w:br w:type="page"/>
      </w:r>
    </w:p>
    <w:p w14:paraId="4E152FD6" w14:textId="77777777" w:rsidR="00595296" w:rsidRPr="006F4D70" w:rsidRDefault="002B7F4D">
      <w:pPr>
        <w:pStyle w:val="1"/>
        <w:ind w:firstLine="602"/>
        <w:rPr>
          <w:rFonts w:asciiTheme="minorEastAsia" w:eastAsiaTheme="minorEastAsia" w:hAnsiTheme="minorEastAsia"/>
          <w:kern w:val="0"/>
        </w:rPr>
      </w:pPr>
      <w:bookmarkStart w:id="245" w:name="_Toc198902630"/>
      <w:r w:rsidRPr="006F4D70">
        <w:rPr>
          <w:rFonts w:asciiTheme="minorEastAsia" w:eastAsiaTheme="minorEastAsia" w:hAnsiTheme="minorEastAsia" w:hint="eastAsia"/>
          <w:kern w:val="0"/>
        </w:rPr>
        <w:lastRenderedPageBreak/>
        <w:t>第十八部分    基金的信息披露</w:t>
      </w:r>
      <w:bookmarkEnd w:id="244"/>
      <w:bookmarkEnd w:id="245"/>
    </w:p>
    <w:p w14:paraId="1DD90D32"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一、本基金的信息披露应符合《基金法》、《运作办法》、《信息披露办法》、《流动性风险管理规定》、《基金合同》及其他有关规定。若相关法律法规修订或变更后对于基金信息披露的信息类型、披露内容、披露方式等规定与本部分的内容不同，若适用于本基金，本基金的信息披露按照修订或变更后的法律法规的要求执行。</w:t>
      </w:r>
    </w:p>
    <w:p w14:paraId="2ADBF295"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二、信息披露义务人</w:t>
      </w:r>
    </w:p>
    <w:p w14:paraId="52F6198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本基金信息披露义务人包括基金管理人、基金托管人、召集基金份额持有人大会的基金份额持有人等法律法规和中国证监会规定的自然人、法人和非法人组织。</w:t>
      </w:r>
    </w:p>
    <w:p w14:paraId="463EB40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本基金信息披露义务人以保护基金份额持有人利益为根本出发点，按照法律法规和中国证监会的规定披露基金信息，并保证所披露信息的真实性、准确性、完整性、及时性、简明性和易得性。</w:t>
      </w:r>
    </w:p>
    <w:p w14:paraId="6E8E264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E6007B3"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三、本基金信息披露义务人承诺公开披露的基金信息，不得有下列行为：</w:t>
      </w:r>
    </w:p>
    <w:p w14:paraId="251452F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、虚假记载、误导性陈述或者重大遗漏；</w:t>
      </w:r>
    </w:p>
    <w:p w14:paraId="17C0A28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、对证券投资业绩进行预测；</w:t>
      </w:r>
    </w:p>
    <w:p w14:paraId="54270C9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、违规承诺收益或者承担损失；</w:t>
      </w:r>
    </w:p>
    <w:p w14:paraId="791B2C5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、诋毁其他基金管理人、基金托管人或者基金销售机构；</w:t>
      </w:r>
    </w:p>
    <w:p w14:paraId="2280C88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、登载任何自然人、法人和非法人组织的祝贺性、恭维性或推荐性的文字；</w:t>
      </w:r>
    </w:p>
    <w:p w14:paraId="419951B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、中国证监会禁止的其他行为。</w:t>
      </w:r>
    </w:p>
    <w:p w14:paraId="31E174B6"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四、本基金公开披露的信息应采用中文文本。如同时采用外文文本的，基金信息披露义务人应保证不同文本的内容一致。不同文本之间发生歧义的，以中文文本为准。</w:t>
      </w:r>
    </w:p>
    <w:p w14:paraId="314734A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本基金公开披露的信息采用阿拉伯数字；除特别说明外，货币单位为人民币元。</w:t>
      </w:r>
    </w:p>
    <w:p w14:paraId="13BC7A10"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五、公开披露的基金信息</w:t>
      </w:r>
    </w:p>
    <w:p w14:paraId="40A3678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公开披露的基金信息包括：</w:t>
      </w:r>
    </w:p>
    <w:p w14:paraId="57C80E0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（一）基金招募说明书、《基金合同》、基金托管协议、基金产品资料概要</w:t>
      </w:r>
    </w:p>
    <w:p w14:paraId="30CEBD7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1、《基金合同》是界定《基金合同》当事人的各项权利、义务关系，明确基金份额持有人大会召开的规则及具体程序，说明基金产品的特性等涉及基金投资者重大利益的事项的法律文件。</w:t>
      </w:r>
    </w:p>
    <w:p w14:paraId="064679E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8BF9BA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、基金托管协议是界定基金托管人和基金管理人在基金财产保管及基金运作监督等活动中的权利、义务关系的法律文件。</w:t>
      </w:r>
    </w:p>
    <w:p w14:paraId="49C38F3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E591AB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基金募集申请经中国证监会准予注册后，基金管理人在基金份额发售的</w:t>
      </w: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日前，将基金份额发售公告、基金招募说明书提示性公告、基金合同提示性公告登载在规定报刊上，将基金份额发售公告、基金招募说明书、基金合同、托管协议和基金产品资料概要登载在规定网站上，并将基金产品资料概要登载在基金销售机构网站或营业网点；基金托管人同时应当将《基金合同》、基金托管协议登载在规定网站上。</w:t>
      </w:r>
    </w:p>
    <w:p w14:paraId="6B640A5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（二）基金份额发售公告</w:t>
      </w:r>
    </w:p>
    <w:p w14:paraId="77ECCC3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基金管理人应当就基金份额发售的具体事宜编制基金份额发售公告，并在披露招募说明书的当日登载于规定媒介上。</w:t>
      </w:r>
    </w:p>
    <w:p w14:paraId="526377D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（三）《基金合同》生效公告</w:t>
      </w:r>
    </w:p>
    <w:p w14:paraId="4CF9DB9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基金管理人应当在《基金合同》生效的次日在规定媒介上登载《基金合同》生效公告。</w:t>
      </w:r>
    </w:p>
    <w:p w14:paraId="286ABB5A" w14:textId="77777777" w:rsidR="00595296" w:rsidRPr="006F4D70" w:rsidRDefault="002B7F4D">
      <w:pPr>
        <w:pStyle w:val="Default"/>
        <w:spacing w:line="360" w:lineRule="auto"/>
        <w:ind w:firstLineChars="200" w:firstLine="480"/>
        <w:jc w:val="both"/>
        <w:rPr>
          <w:rFonts w:asciiTheme="minorEastAsia" w:eastAsiaTheme="minorEastAsia" w:hAnsiTheme="minorEastAsia"/>
        </w:rPr>
      </w:pPr>
      <w:r w:rsidRPr="006F4D70">
        <w:rPr>
          <w:rFonts w:asciiTheme="minorEastAsia" w:eastAsiaTheme="minorEastAsia" w:hAnsiTheme="minorEastAsia" w:hint="eastAsia"/>
          <w:color w:val="auto"/>
        </w:rPr>
        <w:t>（四）</w:t>
      </w:r>
      <w:r w:rsidRPr="006F4D70">
        <w:rPr>
          <w:rFonts w:asciiTheme="minorEastAsia" w:eastAsiaTheme="minorEastAsia" w:hAnsiTheme="minorEastAsia" w:hint="eastAsia"/>
        </w:rPr>
        <w:t>基金净值信息</w:t>
      </w:r>
    </w:p>
    <w:p w14:paraId="21A230B5" w14:textId="77777777" w:rsidR="00595296" w:rsidRPr="006F4D70" w:rsidRDefault="002B7F4D">
      <w:pPr>
        <w:pStyle w:val="Default"/>
        <w:spacing w:line="360" w:lineRule="auto"/>
        <w:ind w:firstLineChars="200" w:firstLine="480"/>
        <w:jc w:val="both"/>
        <w:rPr>
          <w:rFonts w:asciiTheme="minorEastAsia" w:eastAsiaTheme="minorEastAsia" w:hAnsiTheme="minorEastAsia"/>
        </w:rPr>
      </w:pPr>
      <w:r w:rsidRPr="006F4D70">
        <w:rPr>
          <w:rFonts w:asciiTheme="minorEastAsia" w:eastAsiaTheme="minorEastAsia" w:hAnsiTheme="minorEastAsia" w:hint="eastAsia"/>
        </w:rPr>
        <w:t>基金合同生效后，在开始办理基金份额申购或者赎回前，基金管理人应当至少每周在规定网站披露一次各类基金份额的基金份额净值和基金份额累计净值。</w:t>
      </w:r>
    </w:p>
    <w:p w14:paraId="66334E64" w14:textId="77777777" w:rsidR="00595296" w:rsidRPr="006F4D70" w:rsidRDefault="002B7F4D">
      <w:pPr>
        <w:pStyle w:val="Default"/>
        <w:spacing w:line="360" w:lineRule="auto"/>
        <w:ind w:firstLineChars="200" w:firstLine="480"/>
        <w:jc w:val="both"/>
        <w:rPr>
          <w:rFonts w:asciiTheme="minorEastAsia" w:eastAsiaTheme="minorEastAsia" w:hAnsiTheme="minorEastAsia"/>
        </w:rPr>
      </w:pPr>
      <w:r w:rsidRPr="006F4D70">
        <w:rPr>
          <w:rFonts w:asciiTheme="minorEastAsia" w:eastAsiaTheme="minorEastAsia" w:hAnsiTheme="minorEastAsia" w:hint="eastAsia"/>
        </w:rPr>
        <w:t>在开始办理基金份额申购或者赎回后，基金管理人应当在不晚于每个开放日的次日，通过规定网站、基金销售机构网站或营业网点，披露开放日各类基金份额的基金份额净值和基金份额累计净值。</w:t>
      </w:r>
    </w:p>
    <w:p w14:paraId="59534CD6" w14:textId="77777777" w:rsidR="00595296" w:rsidRPr="006F4D70" w:rsidRDefault="002B7F4D">
      <w:pPr>
        <w:pStyle w:val="Default"/>
        <w:spacing w:line="360" w:lineRule="auto"/>
        <w:ind w:firstLineChars="200" w:firstLine="480"/>
        <w:jc w:val="both"/>
        <w:rPr>
          <w:rFonts w:asciiTheme="minorEastAsia" w:eastAsiaTheme="minorEastAsia" w:hAnsiTheme="minorEastAsia"/>
          <w:color w:val="auto"/>
        </w:rPr>
      </w:pPr>
      <w:r w:rsidRPr="006F4D70">
        <w:rPr>
          <w:rFonts w:asciiTheme="minorEastAsia" w:eastAsiaTheme="minorEastAsia" w:hAnsiTheme="minorEastAsia" w:hint="eastAsia"/>
          <w:color w:val="auto"/>
        </w:rPr>
        <w:t>基金管理人应当在不晚于半年度和年度最后一日的次日，在规定网站披露半年度和年度最后一日</w:t>
      </w:r>
      <w:r w:rsidRPr="006F4D70">
        <w:rPr>
          <w:rFonts w:asciiTheme="minorEastAsia" w:eastAsiaTheme="minorEastAsia" w:hAnsiTheme="minorEastAsia" w:hint="eastAsia"/>
        </w:rPr>
        <w:t>各类基金份额</w:t>
      </w:r>
      <w:r w:rsidRPr="006F4D70">
        <w:rPr>
          <w:rFonts w:asciiTheme="minorEastAsia" w:eastAsiaTheme="minorEastAsia" w:hAnsiTheme="minorEastAsia" w:hint="eastAsia"/>
          <w:color w:val="auto"/>
        </w:rPr>
        <w:t>的基金份额净值和基金份额累计净值。</w:t>
      </w:r>
    </w:p>
    <w:p w14:paraId="6BB786E8" w14:textId="77777777" w:rsidR="00595296" w:rsidRPr="006F4D70" w:rsidRDefault="002B7F4D">
      <w:pPr>
        <w:ind w:firstLine="480"/>
        <w:rPr>
          <w:rFonts w:asciiTheme="minorEastAsia" w:eastAsiaTheme="minorEastAsia" w:hAnsiTheme="minorEastAsia"/>
          <w:bCs/>
        </w:rPr>
      </w:pPr>
      <w:bookmarkStart w:id="246" w:name="_Hlk163577220"/>
      <w:r w:rsidRPr="006F4D70">
        <w:rPr>
          <w:rFonts w:asciiTheme="minorEastAsia" w:eastAsiaTheme="minorEastAsia" w:hAnsiTheme="minorEastAsia" w:hint="eastAsia"/>
          <w:bCs/>
        </w:rPr>
        <w:t>如法律法规将来另有规定的，本基金按照新规定执行。如需据此相应修改基金合同的，基金管理人与基金托管人协商一致，并提前公告后，可直接对相应内容进行修改和调整，无须召开基金份额持有人大会。</w:t>
      </w:r>
    </w:p>
    <w:bookmarkEnd w:id="246"/>
    <w:p w14:paraId="7ABF51F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（五）基金份额申购、赎回价格</w:t>
      </w:r>
    </w:p>
    <w:p w14:paraId="18B848E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基金管理人应当在《基金合同》、招募说明书等信息披露文件上载明基金份额申购、赎回价格的计算方式及有关申购、赎回费率，并保证投资者能够在基金销售机构</w:t>
      </w:r>
      <w:r w:rsidRPr="006F4D70">
        <w:rPr>
          <w:rFonts w:asciiTheme="minorEastAsia" w:eastAsiaTheme="minorEastAsia" w:hAnsiTheme="minorEastAsia" w:hint="eastAsia"/>
          <w:kern w:val="0"/>
        </w:rPr>
        <w:t>网站或营业</w:t>
      </w:r>
      <w:r w:rsidRPr="006F4D70">
        <w:rPr>
          <w:rFonts w:asciiTheme="minorEastAsia" w:eastAsiaTheme="minorEastAsia" w:hAnsiTheme="minorEastAsia" w:cs="宋体" w:hint="eastAsia"/>
          <w:kern w:val="0"/>
          <w:szCs w:val="24"/>
        </w:rPr>
        <w:t>网点查阅或者复制前述信息资料。</w:t>
      </w:r>
    </w:p>
    <w:p w14:paraId="70D257A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（六）基金定期报告，包括基金年度报告、基金中期报告和基金季度报告</w:t>
      </w:r>
    </w:p>
    <w:p w14:paraId="5078A9C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应当在每年结束之日起三个月内，编制完成基金年度报告，并将年度报告登载于规定网站上，将年度报告提示性公告登载在规定报刊上。基金年度报告中的财务会计报告应当经过符合《中华人民共和国证券法》规定的会计师事务所审计。</w:t>
      </w:r>
    </w:p>
    <w:p w14:paraId="401645E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基金管理人应当在上半年结束之日起两个</w:t>
      </w:r>
      <w:r w:rsidRPr="006F4D70">
        <w:rPr>
          <w:rFonts w:asciiTheme="minorEastAsia" w:eastAsiaTheme="minorEastAsia" w:hAnsiTheme="minorEastAsia" w:cs="宋体"/>
          <w:kern w:val="0"/>
          <w:szCs w:val="24"/>
        </w:rPr>
        <w:t>月</w:t>
      </w:r>
      <w:r w:rsidRPr="006F4D70">
        <w:rPr>
          <w:rFonts w:asciiTheme="minorEastAsia" w:eastAsiaTheme="minorEastAsia" w:hAnsiTheme="minorEastAsia" w:cs="宋体" w:hint="eastAsia"/>
          <w:kern w:val="0"/>
          <w:szCs w:val="24"/>
        </w:rPr>
        <w:t>内，编制完成基金中期报告，并将中期报告</w:t>
      </w:r>
      <w:r w:rsidRPr="006F4D70">
        <w:rPr>
          <w:rFonts w:asciiTheme="minorEastAsia" w:eastAsiaTheme="minorEastAsia" w:hAnsiTheme="minorEastAsia" w:hint="eastAsia"/>
          <w:kern w:val="0"/>
        </w:rPr>
        <w:t>登载在规定网站上</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hint="eastAsia"/>
          <w:kern w:val="0"/>
        </w:rPr>
        <w:t>将</w:t>
      </w:r>
      <w:r w:rsidRPr="006F4D70">
        <w:rPr>
          <w:rFonts w:asciiTheme="minorEastAsia" w:eastAsiaTheme="minorEastAsia" w:hAnsiTheme="minorEastAsia" w:cs="宋体" w:hint="eastAsia"/>
          <w:kern w:val="0"/>
          <w:szCs w:val="24"/>
        </w:rPr>
        <w:t>中期报告提示性公告登载在规定报刊上。</w:t>
      </w:r>
    </w:p>
    <w:p w14:paraId="3183BBF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基金管理人应当在季度结束之日起</w:t>
      </w:r>
      <w:r w:rsidRPr="006F4D70">
        <w:rPr>
          <w:rFonts w:asciiTheme="minorEastAsia" w:eastAsiaTheme="minorEastAsia" w:hAnsiTheme="minorEastAsia" w:cs="宋体"/>
          <w:kern w:val="0"/>
          <w:szCs w:val="24"/>
        </w:rPr>
        <w:t>15</w:t>
      </w:r>
      <w:r w:rsidRPr="006F4D70">
        <w:rPr>
          <w:rFonts w:asciiTheme="minorEastAsia" w:eastAsiaTheme="minorEastAsia" w:hAnsiTheme="minorEastAsia" w:cs="宋体" w:hint="eastAsia"/>
          <w:kern w:val="0"/>
          <w:szCs w:val="24"/>
        </w:rPr>
        <w:t>个工作日内，编制完成基金季度报告，并将季度报告</w:t>
      </w:r>
      <w:r w:rsidRPr="006F4D70">
        <w:rPr>
          <w:rFonts w:asciiTheme="minorEastAsia" w:eastAsiaTheme="minorEastAsia" w:hAnsiTheme="minorEastAsia" w:hint="eastAsia"/>
          <w:kern w:val="0"/>
        </w:rPr>
        <w:t>登载在规定网站上</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hint="eastAsia"/>
          <w:kern w:val="0"/>
        </w:rPr>
        <w:t>将</w:t>
      </w:r>
      <w:r w:rsidRPr="006F4D70">
        <w:rPr>
          <w:rFonts w:asciiTheme="minorEastAsia" w:eastAsiaTheme="minorEastAsia" w:hAnsiTheme="minorEastAsia" w:cs="宋体" w:hint="eastAsia"/>
          <w:kern w:val="0"/>
          <w:szCs w:val="24"/>
        </w:rPr>
        <w:t>季度报告提示性公告登载在规定报刊上。</w:t>
      </w:r>
    </w:p>
    <w:p w14:paraId="25CF4D9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《基金合同》生效不足</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个月的，基金管理人可以不编制当期季度报告、中期报告或者年度报告。</w:t>
      </w:r>
    </w:p>
    <w:p w14:paraId="1CE0B00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如报告期内出现单一投资者持有基金份额比例达到或超过基金总份额20%的情形，为保障其他投资者的权益，基金管理人至少应当在季度报告、中期报告、年度报告等定期报告文件中“影响投资者决策的其他重要信息”项下披露该投资者的类别、报告期末持有份额及占比、报告期内持有份额变化情况及</w:t>
      </w:r>
      <w:r w:rsidRPr="006F4D70">
        <w:rPr>
          <w:rFonts w:asciiTheme="minorEastAsia" w:eastAsiaTheme="minorEastAsia" w:hAnsiTheme="minorEastAsia" w:cs="宋体" w:hint="eastAsia"/>
          <w:bCs/>
          <w:kern w:val="0"/>
          <w:szCs w:val="24"/>
        </w:rPr>
        <w:t>本基金</w:t>
      </w:r>
      <w:r w:rsidRPr="006F4D70">
        <w:rPr>
          <w:rFonts w:asciiTheme="minorEastAsia" w:eastAsiaTheme="minorEastAsia" w:hAnsiTheme="minorEastAsia" w:cs="宋体" w:hint="eastAsia"/>
          <w:kern w:val="0"/>
          <w:szCs w:val="24"/>
        </w:rPr>
        <w:t>的特有风险，中国证监会认定的特殊情形除外。</w:t>
      </w:r>
    </w:p>
    <w:p w14:paraId="2FC55220" w14:textId="77777777" w:rsidR="00B80C68" w:rsidRDefault="002B7F4D" w:rsidP="00FB138A">
      <w:pPr>
        <w:autoSpaceDE w:val="0"/>
        <w:autoSpaceDN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基金管理人应当在基金年度报告和中期报告中披露</w:t>
      </w:r>
      <w:r w:rsidR="000100FA" w:rsidRPr="006F4D70">
        <w:rPr>
          <w:rFonts w:asciiTheme="minorEastAsia" w:eastAsiaTheme="minorEastAsia" w:hAnsiTheme="minorEastAsia" w:cs="宋体" w:hint="eastAsia"/>
          <w:bCs/>
          <w:kern w:val="0"/>
          <w:szCs w:val="24"/>
        </w:rPr>
        <w:t>固定管理费、或有管理费和超额管理费收取情况、</w:t>
      </w:r>
      <w:r w:rsidRPr="006F4D70">
        <w:rPr>
          <w:rFonts w:asciiTheme="minorEastAsia" w:eastAsiaTheme="minorEastAsia" w:hAnsiTheme="minorEastAsia" w:cs="宋体" w:hint="eastAsia"/>
          <w:bCs/>
          <w:kern w:val="0"/>
          <w:szCs w:val="24"/>
        </w:rPr>
        <w:t>基金组合资产情况及其流动性风险分析等。</w:t>
      </w:r>
    </w:p>
    <w:p w14:paraId="72CD3D3A" w14:textId="2BA5732D" w:rsidR="00595296" w:rsidRPr="00FB138A" w:rsidRDefault="00B80C68" w:rsidP="00FB138A">
      <w:pPr>
        <w:autoSpaceDE w:val="0"/>
        <w:autoSpaceDN w:val="0"/>
        <w:ind w:firstLine="480"/>
        <w:rPr>
          <w:rFonts w:ascii="宋体" w:hAnsi="Calibri" w:cs="宋体"/>
          <w:bCs/>
          <w:szCs w:val="24"/>
        </w:rPr>
      </w:pPr>
      <w:r w:rsidRPr="00F33160">
        <w:rPr>
          <w:rFonts w:hint="eastAsia"/>
          <w:bCs/>
        </w:rPr>
        <w:t>基金管理人应当在基金中期报告和年度报告中披露从基金财产中计提的管理费、托管费、销售服务费的金额，以及支付给基金销售机构的客户维护费总额、基金管理人实际收取的管理费净额</w:t>
      </w:r>
      <w:r>
        <w:rPr>
          <w:rFonts w:hint="eastAsia"/>
          <w:bCs/>
        </w:rPr>
        <w:t>。</w:t>
      </w:r>
    </w:p>
    <w:p w14:paraId="46B2C79E" w14:textId="65AA9D44"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（七）临时报告</w:t>
      </w:r>
    </w:p>
    <w:p w14:paraId="53A0C17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本基金发生重大事件，有关信息披露义务人应当在</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日内编制临时报告书，并登载在规定报刊</w:t>
      </w:r>
      <w:r w:rsidRPr="006F4D70">
        <w:rPr>
          <w:rFonts w:asciiTheme="minorEastAsia" w:eastAsiaTheme="minorEastAsia" w:hAnsiTheme="minorEastAsia" w:hint="eastAsia"/>
          <w:kern w:val="0"/>
        </w:rPr>
        <w:t>和规定网站</w:t>
      </w:r>
      <w:r w:rsidRPr="006F4D70">
        <w:rPr>
          <w:rFonts w:asciiTheme="minorEastAsia" w:eastAsiaTheme="minorEastAsia" w:hAnsiTheme="minorEastAsia" w:cs="宋体" w:hint="eastAsia"/>
          <w:kern w:val="0"/>
          <w:szCs w:val="24"/>
        </w:rPr>
        <w:t>上。</w:t>
      </w:r>
    </w:p>
    <w:p w14:paraId="592A5CC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前款所称重大事件，是指可能对基金份额持有人权益或者基金份额的价格产生重大影响的下列事件：</w:t>
      </w:r>
    </w:p>
    <w:p w14:paraId="4937004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、基金份额持有人大会的召开及决定的事项；</w:t>
      </w:r>
    </w:p>
    <w:p w14:paraId="5E11D15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、终止《基金合同》、基金清算；</w:t>
      </w:r>
    </w:p>
    <w:p w14:paraId="6C9A0AD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、转换基金运作方式、基金合并；</w:t>
      </w:r>
    </w:p>
    <w:p w14:paraId="6C9ED86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、更换基金管理人、基金托管人、基金份额登记机构，基金改聘会计师事务所；</w:t>
      </w:r>
    </w:p>
    <w:p w14:paraId="24E1FDC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5、基金管理人委托基金服务机构代为办理基金的份额登记、核算、估值等事项，基金托管人委托基金服务机构代为办理基金的核算、估值、复核等事项；</w:t>
      </w:r>
    </w:p>
    <w:p w14:paraId="0CD0B07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6、基金管理人、基金托管人的法定名称、住所发生变更；</w:t>
      </w:r>
    </w:p>
    <w:p w14:paraId="3D0E15B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7、基金管理人变更持有百分之五以上股权的股东、变更基金管理人的实际控制人；</w:t>
      </w:r>
    </w:p>
    <w:p w14:paraId="6064544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8、基金募集期延长或提前结束募集；</w:t>
      </w:r>
    </w:p>
    <w:p w14:paraId="04018A6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9、基金管理人高级管理人员、基金经理和基金托管人专门基金托管部门负</w:t>
      </w:r>
      <w:r w:rsidRPr="006F4D70">
        <w:rPr>
          <w:rFonts w:asciiTheme="minorEastAsia" w:eastAsiaTheme="minorEastAsia" w:hAnsiTheme="minorEastAsia" w:cs="宋体" w:hint="eastAsia"/>
          <w:kern w:val="0"/>
          <w:szCs w:val="24"/>
        </w:rPr>
        <w:lastRenderedPageBreak/>
        <w:t>责人发生变动；</w:t>
      </w:r>
    </w:p>
    <w:p w14:paraId="4A28234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10、基金管理人的董事在最近12个月内变更超过百分之五十；</w:t>
      </w:r>
    </w:p>
    <w:p w14:paraId="00DE570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1、基金管理人、基金托管人专门基金托管部门的主要业务人员在最近12个月内变动超过百分之三十；</w:t>
      </w:r>
    </w:p>
    <w:p w14:paraId="6CBD612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2、涉及基金管理业务、基金财产、基金托管业务的诉讼或仲裁；</w:t>
      </w:r>
    </w:p>
    <w:p w14:paraId="384555E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13</w:t>
      </w:r>
      <w:r w:rsidRPr="006F4D70">
        <w:rPr>
          <w:rFonts w:asciiTheme="minorEastAsia" w:eastAsiaTheme="minorEastAsia" w:hAnsiTheme="minorEastAsia" w:cs="宋体" w:hint="eastAsia"/>
          <w:kern w:val="0"/>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6FCAB5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14</w:t>
      </w:r>
      <w:r w:rsidRPr="006F4D70">
        <w:rPr>
          <w:rFonts w:asciiTheme="minorEastAsia" w:eastAsiaTheme="minorEastAsia" w:hAnsiTheme="minorEastAsia" w:cs="宋体" w:hint="eastAsia"/>
          <w:kern w:val="0"/>
          <w:szCs w:val="24"/>
        </w:rPr>
        <w:t>、基金管理人运用基金财产买卖基金管理人、基金托管人及其控股股东、实际控制人或者与其有其他重大利害关系的公司发行的证券或者承销期内承销的证券，或者从事其他重大关联交易事项，中国证监会另有规定的情形除外；</w:t>
      </w:r>
    </w:p>
    <w:p w14:paraId="3647476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15</w:t>
      </w:r>
      <w:r w:rsidRPr="006F4D70">
        <w:rPr>
          <w:rFonts w:asciiTheme="minorEastAsia" w:eastAsiaTheme="minorEastAsia" w:hAnsiTheme="minorEastAsia" w:cs="宋体" w:hint="eastAsia"/>
          <w:kern w:val="0"/>
          <w:szCs w:val="24"/>
        </w:rPr>
        <w:t>、基金收益分配事项；</w:t>
      </w:r>
    </w:p>
    <w:p w14:paraId="678B5033" w14:textId="402EDCF5"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16</w:t>
      </w:r>
      <w:r w:rsidRPr="006F4D70">
        <w:rPr>
          <w:rFonts w:asciiTheme="minorEastAsia" w:eastAsiaTheme="minorEastAsia" w:hAnsiTheme="minorEastAsia" w:cs="宋体" w:hint="eastAsia"/>
          <w:kern w:val="0"/>
          <w:szCs w:val="24"/>
        </w:rPr>
        <w:t>、管理费</w:t>
      </w:r>
      <w:r w:rsidR="000F3483" w:rsidRPr="000F3483">
        <w:rPr>
          <w:rFonts w:asciiTheme="minorEastAsia" w:eastAsiaTheme="minorEastAsia" w:hAnsiTheme="minorEastAsia" w:cs="宋体" w:hint="eastAsia"/>
          <w:kern w:val="0"/>
          <w:szCs w:val="24"/>
        </w:rPr>
        <w:t>（包括固定管理费、或有管理费和超额管理费）</w:t>
      </w:r>
      <w:r w:rsidRPr="006F4D70">
        <w:rPr>
          <w:rFonts w:asciiTheme="minorEastAsia" w:eastAsiaTheme="minorEastAsia" w:hAnsiTheme="minorEastAsia" w:cs="宋体" w:hint="eastAsia"/>
          <w:kern w:val="0"/>
          <w:szCs w:val="24"/>
        </w:rPr>
        <w:t>、托管费、销售服务费、申购费、赎回费等费用计提标准、计提方式和费率发生变更；</w:t>
      </w:r>
    </w:p>
    <w:p w14:paraId="669092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17</w:t>
      </w:r>
      <w:r w:rsidRPr="006F4D70">
        <w:rPr>
          <w:rFonts w:asciiTheme="minorEastAsia" w:eastAsiaTheme="minorEastAsia" w:hAnsiTheme="minorEastAsia" w:cs="宋体" w:hint="eastAsia"/>
          <w:kern w:val="0"/>
          <w:szCs w:val="24"/>
        </w:rPr>
        <w:t>、任一类基金份额净值估值错误达该类基金份额净值</w:t>
      </w:r>
      <w:r w:rsidRPr="006F4D70">
        <w:rPr>
          <w:rFonts w:asciiTheme="minorEastAsia" w:eastAsiaTheme="minorEastAsia" w:hAnsiTheme="minorEastAsia" w:cs="宋体"/>
          <w:kern w:val="0"/>
          <w:szCs w:val="24"/>
        </w:rPr>
        <w:t>0.5%</w:t>
      </w:r>
      <w:r w:rsidRPr="006F4D70">
        <w:rPr>
          <w:rFonts w:asciiTheme="minorEastAsia" w:eastAsiaTheme="minorEastAsia" w:hAnsiTheme="minorEastAsia" w:cs="宋体" w:hint="eastAsia"/>
          <w:kern w:val="0"/>
          <w:szCs w:val="24"/>
        </w:rPr>
        <w:t>；</w:t>
      </w:r>
    </w:p>
    <w:p w14:paraId="5345173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18、本基金开始办理申购、赎回；</w:t>
      </w:r>
    </w:p>
    <w:p w14:paraId="1C98D31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19、本基金发生巨额赎回并延期办理或延缓支付赎回款项；</w:t>
      </w:r>
    </w:p>
    <w:p w14:paraId="2DE76DC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20、本基金连续发生巨额赎回并暂停接受赎回申请或延缓支付赎回款项；</w:t>
      </w:r>
    </w:p>
    <w:p w14:paraId="226B434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1、本基金暂停接受申购、赎回申请或暂停后重新接受申购、赎回申请；</w:t>
      </w:r>
    </w:p>
    <w:p w14:paraId="08001E43"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kern w:val="0"/>
          <w:szCs w:val="24"/>
        </w:rPr>
        <w:t>22、</w:t>
      </w:r>
      <w:r w:rsidRPr="006F4D70">
        <w:rPr>
          <w:rFonts w:asciiTheme="minorEastAsia" w:eastAsiaTheme="minorEastAsia" w:hAnsiTheme="minorEastAsia" w:cs="宋体" w:hint="eastAsia"/>
          <w:bCs/>
          <w:kern w:val="0"/>
          <w:szCs w:val="24"/>
        </w:rPr>
        <w:t>调整基金份额类别设置；</w:t>
      </w:r>
    </w:p>
    <w:p w14:paraId="0795974E"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bCs/>
          <w:kern w:val="0"/>
          <w:szCs w:val="24"/>
        </w:rPr>
        <w:t>23</w:t>
      </w:r>
      <w:r w:rsidRPr="006F4D70">
        <w:rPr>
          <w:rFonts w:asciiTheme="minorEastAsia" w:eastAsiaTheme="minorEastAsia" w:hAnsiTheme="minorEastAsia" w:cs="宋体" w:hint="eastAsia"/>
          <w:bCs/>
          <w:kern w:val="0"/>
          <w:szCs w:val="24"/>
        </w:rPr>
        <w:t>、发生涉及基金申购、赎回事项调整或潜在影响投资者赎回等重大事项时；</w:t>
      </w:r>
    </w:p>
    <w:p w14:paraId="10DA5033" w14:textId="2571DDB5" w:rsidR="00595296"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kern w:val="0"/>
          <w:szCs w:val="24"/>
        </w:rPr>
        <w:t>2</w:t>
      </w: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hint="eastAsia"/>
          <w:bCs/>
          <w:kern w:val="0"/>
          <w:szCs w:val="24"/>
        </w:rPr>
        <w:t>基金管理人采用摆动定价机制进行估值；</w:t>
      </w:r>
    </w:p>
    <w:p w14:paraId="1C532826" w14:textId="5BB3385A" w:rsidR="00D62F75" w:rsidRPr="006F4D70" w:rsidRDefault="00D62F75">
      <w:pPr>
        <w:autoSpaceDE w:val="0"/>
        <w:autoSpaceDN w:val="0"/>
        <w:adjustRightInd w:val="0"/>
        <w:ind w:firstLine="480"/>
        <w:rPr>
          <w:rFonts w:asciiTheme="minorEastAsia" w:eastAsiaTheme="minorEastAsia" w:hAnsiTheme="minorEastAsia" w:cs="宋体"/>
          <w:kern w:val="0"/>
          <w:szCs w:val="24"/>
        </w:rPr>
      </w:pPr>
      <w:r w:rsidRPr="00D62F75">
        <w:rPr>
          <w:rFonts w:asciiTheme="minorEastAsia" w:eastAsiaTheme="minorEastAsia" w:hAnsiTheme="minorEastAsia" w:cs="宋体"/>
          <w:kern w:val="0"/>
          <w:szCs w:val="24"/>
        </w:rPr>
        <w:t>25、本基金推出新业务或新服务；</w:t>
      </w:r>
    </w:p>
    <w:p w14:paraId="2243653C" w14:textId="4F388F59" w:rsidR="00595296" w:rsidRPr="006F4D70" w:rsidRDefault="00D62F75">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w:t>
      </w:r>
      <w:r>
        <w:rPr>
          <w:rFonts w:asciiTheme="minorEastAsia" w:eastAsiaTheme="minorEastAsia" w:hAnsiTheme="minorEastAsia" w:cs="宋体"/>
          <w:kern w:val="0"/>
          <w:szCs w:val="24"/>
        </w:rPr>
        <w:t>6</w:t>
      </w:r>
      <w:r w:rsidR="002B7F4D" w:rsidRPr="006F4D70">
        <w:rPr>
          <w:rFonts w:asciiTheme="minorEastAsia" w:eastAsiaTheme="minorEastAsia" w:hAnsiTheme="minorEastAsia" w:cs="宋体" w:hint="eastAsia"/>
          <w:kern w:val="0"/>
          <w:szCs w:val="24"/>
        </w:rPr>
        <w:t>、基金信息披露义务人认为可能对基金份额持有人权益或者基金份额的价格产生重大影响的其他事项或中国证监会规定和基金合同约定的其他事项。</w:t>
      </w:r>
    </w:p>
    <w:p w14:paraId="0E8F64D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（八）澄清公告</w:t>
      </w:r>
    </w:p>
    <w:p w14:paraId="2E1BA4B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在《基金合同》存续期限内，任何公共媒介中出现的或者在市场上流传的消息可能对基金份额价格产生误导性影响或者引起较大波动</w:t>
      </w:r>
      <w:r w:rsidRPr="006F4D70">
        <w:rPr>
          <w:rFonts w:asciiTheme="minorEastAsia" w:eastAsiaTheme="minorEastAsia" w:hAnsiTheme="minorEastAsia" w:hint="eastAsia"/>
          <w:kern w:val="0"/>
        </w:rPr>
        <w:t>，以及可能损害基金份额持有人权益</w:t>
      </w:r>
      <w:r w:rsidRPr="006F4D70">
        <w:rPr>
          <w:rFonts w:asciiTheme="minorEastAsia" w:eastAsiaTheme="minorEastAsia" w:hAnsiTheme="minorEastAsia" w:cs="宋体" w:hint="eastAsia"/>
          <w:kern w:val="0"/>
          <w:szCs w:val="24"/>
        </w:rPr>
        <w:t>的，相关信息披露义务人知悉后应当立即对该消息进行公开澄清。</w:t>
      </w:r>
    </w:p>
    <w:p w14:paraId="758A741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（九）清算报告</w:t>
      </w:r>
    </w:p>
    <w:p w14:paraId="5B957DD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基金合同终止情形发生后，基金管理人应当依法组织基金财产清算小组对基金财产进行清算并作出清算报告。基金财产清算小组应当将清算报告登载在规定网站上，并将清算报告提示性公告登载在规定报刊上。</w:t>
      </w:r>
    </w:p>
    <w:p w14:paraId="110A4E8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（十）基金份额持有人大会决议</w:t>
      </w:r>
    </w:p>
    <w:p w14:paraId="5373FA5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基金份额持有人大会决定的事项，应当依法报中国证监会备案，并予以公告。</w:t>
      </w:r>
    </w:p>
    <w:p w14:paraId="2358DA1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（十一）基金管理人应当在基金季度报告、中期报告、年度报告等定期报告和招募说明书（更新）等文件中披露</w:t>
      </w:r>
      <w:bookmarkStart w:id="247" w:name="_Hlk210041839"/>
      <w:r w:rsidRPr="006F4D70">
        <w:rPr>
          <w:rFonts w:asciiTheme="minorEastAsia" w:eastAsiaTheme="minorEastAsia" w:hAnsiTheme="minorEastAsia" w:cs="宋体" w:hint="eastAsia"/>
          <w:kern w:val="0"/>
          <w:szCs w:val="24"/>
        </w:rPr>
        <w:t>股指期货</w:t>
      </w:r>
      <w:bookmarkEnd w:id="247"/>
      <w:r w:rsidRPr="006F4D70">
        <w:rPr>
          <w:rFonts w:asciiTheme="minorEastAsia" w:eastAsiaTheme="minorEastAsia" w:hAnsiTheme="minorEastAsia" w:cs="宋体" w:hint="eastAsia"/>
          <w:kern w:val="0"/>
          <w:szCs w:val="24"/>
        </w:rPr>
        <w:t>交易情况，包括交易政策、持仓情况、损益情况、风险指标等，并充分揭示股指期货交易对基金总体风险的影响以及是否符合既定的</w:t>
      </w:r>
      <w:r w:rsidRPr="006F4D70">
        <w:rPr>
          <w:rFonts w:asciiTheme="minorEastAsia" w:eastAsiaTheme="minorEastAsia" w:hAnsiTheme="minorEastAsia" w:cs="宋体"/>
          <w:kern w:val="0"/>
          <w:szCs w:val="24"/>
        </w:rPr>
        <w:t>交易</w:t>
      </w:r>
      <w:r w:rsidRPr="006F4D70">
        <w:rPr>
          <w:rFonts w:asciiTheme="minorEastAsia" w:eastAsiaTheme="minorEastAsia" w:hAnsiTheme="minorEastAsia" w:cs="宋体" w:hint="eastAsia"/>
          <w:kern w:val="0"/>
          <w:szCs w:val="24"/>
        </w:rPr>
        <w:t>政策和</w:t>
      </w:r>
      <w:r w:rsidRPr="006F4D70">
        <w:rPr>
          <w:rFonts w:asciiTheme="minorEastAsia" w:eastAsiaTheme="minorEastAsia" w:hAnsiTheme="minorEastAsia" w:cs="宋体"/>
          <w:kern w:val="0"/>
          <w:szCs w:val="24"/>
        </w:rPr>
        <w:t>交易</w:t>
      </w:r>
      <w:r w:rsidRPr="006F4D70">
        <w:rPr>
          <w:rFonts w:asciiTheme="minorEastAsia" w:eastAsiaTheme="minorEastAsia" w:hAnsiTheme="minorEastAsia" w:cs="宋体" w:hint="eastAsia"/>
          <w:kern w:val="0"/>
          <w:szCs w:val="24"/>
        </w:rPr>
        <w:t>目标等。</w:t>
      </w:r>
    </w:p>
    <w:p w14:paraId="22B46EF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（十二）基金管理人应当在季度报告、中期报告、年度报告等定期报告和招募说明书（更新）等文件中披露</w:t>
      </w:r>
      <w:bookmarkStart w:id="248" w:name="_Hlk210041845"/>
      <w:r w:rsidRPr="006F4D70">
        <w:rPr>
          <w:rFonts w:asciiTheme="minorEastAsia" w:eastAsiaTheme="minorEastAsia" w:hAnsiTheme="minorEastAsia" w:cs="宋体" w:hint="eastAsia"/>
          <w:kern w:val="0"/>
          <w:szCs w:val="24"/>
        </w:rPr>
        <w:t>国债期货</w:t>
      </w:r>
      <w:bookmarkEnd w:id="248"/>
      <w:r w:rsidRPr="006F4D70">
        <w:rPr>
          <w:rFonts w:asciiTheme="minorEastAsia" w:eastAsiaTheme="minorEastAsia" w:hAnsiTheme="minorEastAsia" w:cs="宋体" w:hint="eastAsia"/>
          <w:kern w:val="0"/>
          <w:szCs w:val="24"/>
        </w:rPr>
        <w:t>交易情况，包括</w:t>
      </w:r>
      <w:r w:rsidRPr="006F4D70">
        <w:rPr>
          <w:rFonts w:asciiTheme="minorEastAsia" w:eastAsiaTheme="minorEastAsia" w:hAnsiTheme="minorEastAsia" w:cs="宋体"/>
          <w:kern w:val="0"/>
          <w:szCs w:val="24"/>
        </w:rPr>
        <w:t>交易</w:t>
      </w:r>
      <w:r w:rsidRPr="006F4D70">
        <w:rPr>
          <w:rFonts w:asciiTheme="minorEastAsia" w:eastAsiaTheme="minorEastAsia" w:hAnsiTheme="minorEastAsia" w:cs="宋体" w:hint="eastAsia"/>
          <w:kern w:val="0"/>
          <w:szCs w:val="24"/>
        </w:rPr>
        <w:t>政策、持仓情况、损益情况、风险指标等，并充分揭示国债期货交易对本基金总体风险的影响以及是否符合既定的</w:t>
      </w:r>
      <w:r w:rsidRPr="006F4D70">
        <w:rPr>
          <w:rFonts w:asciiTheme="minorEastAsia" w:eastAsiaTheme="minorEastAsia" w:hAnsiTheme="minorEastAsia" w:cs="宋体"/>
          <w:kern w:val="0"/>
          <w:szCs w:val="24"/>
        </w:rPr>
        <w:t>交易</w:t>
      </w:r>
      <w:r w:rsidRPr="006F4D70">
        <w:rPr>
          <w:rFonts w:asciiTheme="minorEastAsia" w:eastAsiaTheme="minorEastAsia" w:hAnsiTheme="minorEastAsia" w:cs="宋体" w:hint="eastAsia"/>
          <w:kern w:val="0"/>
          <w:szCs w:val="24"/>
        </w:rPr>
        <w:t>政策和</w:t>
      </w:r>
      <w:r w:rsidRPr="006F4D70">
        <w:rPr>
          <w:rFonts w:asciiTheme="minorEastAsia" w:eastAsiaTheme="minorEastAsia" w:hAnsiTheme="minorEastAsia" w:cs="宋体"/>
          <w:kern w:val="0"/>
          <w:szCs w:val="24"/>
        </w:rPr>
        <w:t>交易</w:t>
      </w:r>
      <w:r w:rsidRPr="006F4D70">
        <w:rPr>
          <w:rFonts w:asciiTheme="minorEastAsia" w:eastAsiaTheme="minorEastAsia" w:hAnsiTheme="minorEastAsia" w:cs="宋体" w:hint="eastAsia"/>
          <w:kern w:val="0"/>
          <w:szCs w:val="24"/>
        </w:rPr>
        <w:t>目标。</w:t>
      </w:r>
    </w:p>
    <w:p w14:paraId="7F10D64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（十三）</w:t>
      </w:r>
      <w:bookmarkStart w:id="249" w:name="_Hlk210041834"/>
      <w:r w:rsidRPr="006F4D70">
        <w:rPr>
          <w:rFonts w:asciiTheme="minorEastAsia" w:eastAsiaTheme="minorEastAsia" w:hAnsiTheme="minorEastAsia" w:cs="宋体" w:hint="eastAsia"/>
          <w:kern w:val="0"/>
          <w:szCs w:val="24"/>
        </w:rPr>
        <w:t>基金</w:t>
      </w:r>
      <w:bookmarkEnd w:id="249"/>
      <w:r w:rsidRPr="006F4D70">
        <w:rPr>
          <w:rFonts w:asciiTheme="minorEastAsia" w:eastAsiaTheme="minorEastAsia" w:hAnsiTheme="minorEastAsia" w:cs="宋体" w:hint="eastAsia"/>
          <w:kern w:val="0"/>
          <w:szCs w:val="24"/>
        </w:rPr>
        <w:t>管理人应当在定期信息披露文件中披露</w:t>
      </w:r>
      <w:bookmarkStart w:id="250" w:name="_Hlk210041851"/>
      <w:r w:rsidRPr="006F4D70">
        <w:rPr>
          <w:rFonts w:asciiTheme="minorEastAsia" w:eastAsiaTheme="minorEastAsia" w:hAnsiTheme="minorEastAsia" w:cs="宋体" w:hint="eastAsia"/>
          <w:kern w:val="0"/>
          <w:szCs w:val="24"/>
        </w:rPr>
        <w:t>股票期权</w:t>
      </w:r>
      <w:bookmarkEnd w:id="250"/>
      <w:r w:rsidRPr="006F4D70">
        <w:rPr>
          <w:rFonts w:asciiTheme="minorEastAsia" w:eastAsiaTheme="minorEastAsia" w:hAnsiTheme="minorEastAsia" w:cs="宋体" w:hint="eastAsia"/>
          <w:kern w:val="0"/>
          <w:szCs w:val="24"/>
        </w:rPr>
        <w:t>交易情况，包括投资政策、持仓情况、损益情况、风险指标、估值方法等，并充分揭示股票期权交易对本基金总体风险的影响以及是否符合既定的投资政策和投资目标。</w:t>
      </w:r>
    </w:p>
    <w:p w14:paraId="43FA8ED5"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kern w:val="0"/>
          <w:szCs w:val="24"/>
        </w:rPr>
        <w:t>（十四）</w:t>
      </w:r>
      <w:r w:rsidRPr="006F4D70">
        <w:rPr>
          <w:rFonts w:asciiTheme="minorEastAsia" w:eastAsiaTheme="minorEastAsia" w:hAnsiTheme="minorEastAsia" w:cs="宋体" w:hint="eastAsia"/>
          <w:bCs/>
          <w:kern w:val="0"/>
          <w:szCs w:val="24"/>
        </w:rPr>
        <w:t>基金管理人应在基金年度报告及中期报告中披露其持有的</w:t>
      </w:r>
      <w:bookmarkStart w:id="251" w:name="_Hlk210041855"/>
      <w:r w:rsidRPr="006F4D70">
        <w:rPr>
          <w:rFonts w:asciiTheme="minorEastAsia" w:eastAsiaTheme="minorEastAsia" w:hAnsiTheme="minorEastAsia" w:cs="宋体" w:hint="eastAsia"/>
          <w:bCs/>
          <w:kern w:val="0"/>
          <w:szCs w:val="24"/>
        </w:rPr>
        <w:t>资产支持证券总额</w:t>
      </w:r>
      <w:bookmarkEnd w:id="251"/>
      <w:r w:rsidRPr="006F4D70">
        <w:rPr>
          <w:rFonts w:asciiTheme="minorEastAsia" w:eastAsiaTheme="minorEastAsia" w:hAnsiTheme="minorEastAsia" w:cs="宋体" w:hint="eastAsia"/>
          <w:bCs/>
          <w:kern w:val="0"/>
          <w:szCs w:val="24"/>
        </w:rPr>
        <w:t>、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E465E36" w14:textId="07E12B06"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（十五）基金</w:t>
      </w:r>
      <w:r w:rsidR="00D62F75">
        <w:rPr>
          <w:rFonts w:asciiTheme="minorEastAsia" w:eastAsiaTheme="minorEastAsia" w:hAnsiTheme="minorEastAsia" w:cs="宋体" w:hint="eastAsia"/>
          <w:bCs/>
          <w:kern w:val="0"/>
          <w:szCs w:val="24"/>
        </w:rPr>
        <w:t>管理人</w:t>
      </w:r>
      <w:r w:rsidRPr="006F4D70">
        <w:rPr>
          <w:rFonts w:asciiTheme="minorEastAsia" w:eastAsiaTheme="minorEastAsia" w:hAnsiTheme="minorEastAsia" w:cs="宋体" w:hint="eastAsia"/>
          <w:bCs/>
          <w:kern w:val="0"/>
          <w:szCs w:val="24"/>
        </w:rPr>
        <w:t>应当在季度报告、中期报告、年度报告等定期报告和招募说明书（更新）等文件中披露本基金参与</w:t>
      </w:r>
      <w:bookmarkStart w:id="252" w:name="_Hlk210041865"/>
      <w:r w:rsidRPr="006F4D70">
        <w:rPr>
          <w:rFonts w:asciiTheme="minorEastAsia" w:eastAsiaTheme="minorEastAsia" w:hAnsiTheme="minorEastAsia" w:cs="宋体" w:hint="eastAsia"/>
          <w:bCs/>
          <w:kern w:val="0"/>
          <w:szCs w:val="24"/>
        </w:rPr>
        <w:t>港股通</w:t>
      </w:r>
      <w:r w:rsidR="00D62F75" w:rsidRPr="00C113F4">
        <w:rPr>
          <w:rFonts w:asciiTheme="minorEastAsia" w:eastAsiaTheme="minorEastAsia" w:hAnsiTheme="minorEastAsia" w:cs="宋体" w:hint="eastAsia"/>
          <w:bCs/>
          <w:kern w:val="0"/>
          <w:szCs w:val="24"/>
        </w:rPr>
        <w:t>标的股票</w:t>
      </w:r>
      <w:bookmarkEnd w:id="252"/>
      <w:r w:rsidRPr="006F4D70">
        <w:rPr>
          <w:rFonts w:asciiTheme="minorEastAsia" w:eastAsiaTheme="minorEastAsia" w:hAnsiTheme="minorEastAsia" w:cs="宋体" w:hint="eastAsia"/>
          <w:bCs/>
          <w:kern w:val="0"/>
          <w:szCs w:val="24"/>
        </w:rPr>
        <w:t>交易的相关情况。</w:t>
      </w:r>
    </w:p>
    <w:p w14:paraId="6C993FD7"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（十六）</w:t>
      </w:r>
      <w:r w:rsidRPr="006F4D70">
        <w:rPr>
          <w:rFonts w:asciiTheme="minorEastAsia" w:eastAsiaTheme="minorEastAsia" w:hAnsiTheme="minorEastAsia" w:cs="宋体"/>
          <w:bCs/>
          <w:kern w:val="0"/>
          <w:szCs w:val="24"/>
        </w:rPr>
        <w:t>基金管理</w:t>
      </w:r>
      <w:r w:rsidRPr="006F4D70">
        <w:rPr>
          <w:rFonts w:asciiTheme="minorEastAsia" w:eastAsiaTheme="minorEastAsia" w:hAnsiTheme="minorEastAsia" w:cs="宋体" w:hint="eastAsia"/>
          <w:bCs/>
          <w:kern w:val="0"/>
          <w:szCs w:val="24"/>
        </w:rPr>
        <w:t>人</w:t>
      </w:r>
      <w:r w:rsidRPr="006F4D70">
        <w:rPr>
          <w:rFonts w:asciiTheme="minorEastAsia" w:eastAsiaTheme="minorEastAsia" w:hAnsiTheme="minorEastAsia" w:cs="宋体"/>
          <w:bCs/>
          <w:kern w:val="0"/>
          <w:szCs w:val="24"/>
        </w:rPr>
        <w:t>应在基金投资非公开发行股票后两个交易日内</w:t>
      </w: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在中国证监会规定媒介披露所投资非公开发行股票的名称、数量、总成本、账面价值</w:t>
      </w:r>
      <w:r w:rsidRPr="006F4D70">
        <w:rPr>
          <w:rFonts w:asciiTheme="minorEastAsia" w:eastAsiaTheme="minorEastAsia" w:hAnsiTheme="minorEastAsia" w:cs="宋体" w:hint="eastAsia"/>
          <w:bCs/>
          <w:kern w:val="0"/>
          <w:szCs w:val="24"/>
        </w:rPr>
        <w:t>，</w:t>
      </w:r>
      <w:r w:rsidRPr="006F4D70">
        <w:rPr>
          <w:rFonts w:asciiTheme="minorEastAsia" w:eastAsiaTheme="minorEastAsia" w:hAnsiTheme="minorEastAsia" w:cs="宋体"/>
          <w:bCs/>
          <w:kern w:val="0"/>
          <w:szCs w:val="24"/>
        </w:rPr>
        <w:t>以及总成本和账面价值占基金资产净值的比例、锁定期等信息。</w:t>
      </w:r>
    </w:p>
    <w:p w14:paraId="4E330F9E"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（十七）基金管理人应当在季度报告、中期报告、年度报告等定期报告和招募说明书（更新）等文件中披露本基金</w:t>
      </w:r>
      <w:bookmarkStart w:id="253" w:name="_Hlk210041876"/>
      <w:r w:rsidRPr="006F4D70">
        <w:rPr>
          <w:rFonts w:asciiTheme="minorEastAsia" w:eastAsiaTheme="minorEastAsia" w:hAnsiTheme="minorEastAsia" w:cs="宋体" w:hint="eastAsia"/>
          <w:bCs/>
          <w:kern w:val="0"/>
          <w:szCs w:val="24"/>
        </w:rPr>
        <w:t>参与融资业务</w:t>
      </w:r>
      <w:bookmarkEnd w:id="253"/>
      <w:r w:rsidRPr="006F4D70">
        <w:rPr>
          <w:rFonts w:asciiTheme="minorEastAsia" w:eastAsiaTheme="minorEastAsia" w:hAnsiTheme="minorEastAsia" w:cs="宋体" w:hint="eastAsia"/>
          <w:bCs/>
          <w:kern w:val="0"/>
          <w:szCs w:val="24"/>
        </w:rPr>
        <w:t>情况，包括投资策略、业务</w:t>
      </w:r>
      <w:r w:rsidRPr="006F4D70">
        <w:rPr>
          <w:rFonts w:asciiTheme="minorEastAsia" w:eastAsiaTheme="minorEastAsia" w:hAnsiTheme="minorEastAsia" w:cs="宋体" w:hint="eastAsia"/>
          <w:bCs/>
          <w:kern w:val="0"/>
          <w:szCs w:val="24"/>
        </w:rPr>
        <w:lastRenderedPageBreak/>
        <w:t>开展情况、损益情况、风险及其管理情况等。</w:t>
      </w:r>
    </w:p>
    <w:p w14:paraId="17EB0BA0"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（十八）信用衍生品的投资情况</w:t>
      </w:r>
    </w:p>
    <w:p w14:paraId="2F29A9D4" w14:textId="77777777" w:rsidR="00595296" w:rsidRPr="006F4D70" w:rsidRDefault="002B7F4D">
      <w:pPr>
        <w:autoSpaceDE w:val="0"/>
        <w:autoSpaceDN w:val="0"/>
        <w:adjustRightInd w:val="0"/>
        <w:ind w:firstLine="480"/>
        <w:rPr>
          <w:rFonts w:asciiTheme="minorEastAsia" w:eastAsiaTheme="minorEastAsia" w:hAnsiTheme="minorEastAsia" w:cs="宋体"/>
          <w:bCs/>
          <w:kern w:val="0"/>
          <w:szCs w:val="24"/>
        </w:rPr>
      </w:pPr>
      <w:r w:rsidRPr="006F4D70">
        <w:rPr>
          <w:rFonts w:asciiTheme="minorEastAsia" w:eastAsiaTheme="minorEastAsia" w:hAnsiTheme="minorEastAsia" w:cs="宋体" w:hint="eastAsia"/>
          <w:bCs/>
          <w:kern w:val="0"/>
          <w:szCs w:val="24"/>
        </w:rPr>
        <w:t>基金管理人应当在定期报告和招募说明书（更新）等文件中详细披露信用衍生品的投资情况，包括投资策略、持仓情况等，并充分揭示投资信用衍生品对基金总体风险的影响，以及是否符合既定的投资目标及策略。</w:t>
      </w:r>
    </w:p>
    <w:p w14:paraId="6C65066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（十九）实施侧袋机制期间的信息披露</w:t>
      </w:r>
    </w:p>
    <w:p w14:paraId="7AB375D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本基金实施侧袋机制的，相关信息披露义务人应当根据法律法规、基金合同和招募说明书的规定进行信息披露，详见招募说明书的规定。</w:t>
      </w:r>
    </w:p>
    <w:p w14:paraId="51BC531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（二十）中国证监会规定的其他信息。</w:t>
      </w:r>
    </w:p>
    <w:p w14:paraId="40CD0DD9"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六、信息披露事务管理</w:t>
      </w:r>
    </w:p>
    <w:p w14:paraId="15990BE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基金管理人、基金托管人应当建立健全信息披露管理制度，指定</w:t>
      </w:r>
      <w:r w:rsidRPr="006F4D70">
        <w:rPr>
          <w:rFonts w:asciiTheme="minorEastAsia" w:eastAsiaTheme="minorEastAsia" w:hAnsiTheme="minorEastAsia" w:hint="eastAsia"/>
          <w:kern w:val="0"/>
        </w:rPr>
        <w:t>专门部门及高级管理人员</w:t>
      </w:r>
      <w:r w:rsidRPr="006F4D70">
        <w:rPr>
          <w:rFonts w:asciiTheme="minorEastAsia" w:eastAsiaTheme="minorEastAsia" w:hAnsiTheme="minorEastAsia" w:cs="宋体" w:hint="eastAsia"/>
          <w:kern w:val="0"/>
          <w:szCs w:val="24"/>
        </w:rPr>
        <w:t>负责管理信息披露事务。</w:t>
      </w:r>
    </w:p>
    <w:p w14:paraId="2B6AA77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基金信息披露义务人公开披露基金信息，应当符合中国证监会相关基金信息披露内容与格式准则</w:t>
      </w:r>
      <w:r w:rsidRPr="006F4D70">
        <w:rPr>
          <w:rFonts w:asciiTheme="minorEastAsia" w:eastAsiaTheme="minorEastAsia" w:hAnsiTheme="minorEastAsia" w:hint="eastAsia"/>
          <w:kern w:val="0"/>
        </w:rPr>
        <w:t>等法规</w:t>
      </w:r>
      <w:r w:rsidRPr="006F4D70">
        <w:rPr>
          <w:rFonts w:asciiTheme="minorEastAsia" w:eastAsiaTheme="minorEastAsia" w:hAnsiTheme="minorEastAsia" w:cs="宋体" w:hint="eastAsia"/>
          <w:kern w:val="0"/>
          <w:szCs w:val="24"/>
        </w:rPr>
        <w:t>的规定。</w:t>
      </w:r>
    </w:p>
    <w:p w14:paraId="35A72E1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基金托管人应当按照相关法律法规、中国证监会的规定和《基金合同》的约定，对基金管理人编制的基金资产净值、各类基金份额的基金份额净值、基金份额申购赎回价格、基金定期报告、更新的招募说明书</w:t>
      </w:r>
      <w:r w:rsidRPr="006F4D70">
        <w:rPr>
          <w:rFonts w:asciiTheme="minorEastAsia" w:eastAsiaTheme="minorEastAsia" w:hAnsiTheme="minorEastAsia" w:hint="eastAsia"/>
          <w:kern w:val="0"/>
        </w:rPr>
        <w:t>、基金产品资料概要、基金清算报告</w:t>
      </w:r>
      <w:r w:rsidRPr="006F4D70">
        <w:rPr>
          <w:rFonts w:asciiTheme="minorEastAsia" w:eastAsiaTheme="minorEastAsia" w:hAnsiTheme="minorEastAsia" w:cs="宋体" w:hint="eastAsia"/>
          <w:kern w:val="0"/>
          <w:szCs w:val="24"/>
        </w:rPr>
        <w:t>等公开披露的相关基金信息进行复核、审查，并向基金管理人进行书面或电子确认。</w:t>
      </w:r>
    </w:p>
    <w:p w14:paraId="699FE21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基金管理人、基金托管人应当在</w:t>
      </w:r>
      <w:r w:rsidRPr="006F4D70">
        <w:rPr>
          <w:rFonts w:asciiTheme="minorEastAsia" w:eastAsiaTheme="minorEastAsia" w:hAnsiTheme="minorEastAsia" w:hint="eastAsia"/>
          <w:kern w:val="0"/>
        </w:rPr>
        <w:t>规定报刊中选择一家报刊披露本基金信息</w:t>
      </w:r>
      <w:r w:rsidRPr="006F4D70">
        <w:rPr>
          <w:rFonts w:asciiTheme="minorEastAsia" w:eastAsiaTheme="minorEastAsia" w:hAnsiTheme="minorEastAsia" w:cs="宋体" w:hint="eastAsia"/>
          <w:kern w:val="0"/>
          <w:szCs w:val="24"/>
        </w:rPr>
        <w:t>。基金管理人、基金托管人应当向中国证监会基金电子披露网站报送拟披露的基金信息，并保证相关报送信息的真实、准确、完整、及时。</w:t>
      </w:r>
    </w:p>
    <w:p w14:paraId="35B2C1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5AA26E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sidRPr="006F4D70">
        <w:rPr>
          <w:rFonts w:asciiTheme="minorEastAsia" w:eastAsiaTheme="minorEastAsia" w:hAnsiTheme="minorEastAsia" w:cs="宋体" w:hint="eastAsia"/>
          <w:kern w:val="0"/>
          <w:szCs w:val="24"/>
        </w:rPr>
        <w:lastRenderedPageBreak/>
        <w:t>得从基金财产中列支。</w:t>
      </w:r>
    </w:p>
    <w:p w14:paraId="0BA43FC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为基金信息披露义务人公开披露的基金信息出具审计报告、法律意见书的专业机构，应当制作工作底稿，并将相关档案至少保存到《基金合同》终止后10年。</w:t>
      </w:r>
    </w:p>
    <w:p w14:paraId="37302597" w14:textId="77777777" w:rsidR="00595296" w:rsidRPr="006F4D70" w:rsidRDefault="002B7F4D">
      <w:pPr>
        <w:autoSpaceDE w:val="0"/>
        <w:autoSpaceDN w:val="0"/>
        <w:adjustRightInd w:val="0"/>
        <w:ind w:firstLine="482"/>
        <w:rPr>
          <w:rFonts w:asciiTheme="minorEastAsia" w:eastAsiaTheme="minorEastAsia" w:hAnsiTheme="minorEastAsia" w:cs="宋体"/>
          <w:b/>
          <w:kern w:val="0"/>
          <w:szCs w:val="24"/>
        </w:rPr>
      </w:pPr>
      <w:r w:rsidRPr="006F4D70">
        <w:rPr>
          <w:rFonts w:asciiTheme="minorEastAsia" w:eastAsiaTheme="minorEastAsia" w:hAnsiTheme="minorEastAsia" w:cs="宋体" w:hint="eastAsia"/>
          <w:b/>
          <w:kern w:val="0"/>
          <w:szCs w:val="24"/>
        </w:rPr>
        <w:t>七、信息披露文件的存放与查阅</w:t>
      </w:r>
    </w:p>
    <w:p w14:paraId="4D1ED956"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依法必须披露的信息发布后，基金管理人、基金托管人应当按照相关法律法规规定将信息置备于各自住所，供社会公众查阅、复制。</w:t>
      </w:r>
    </w:p>
    <w:p w14:paraId="33849D06" w14:textId="3DAF8048" w:rsidR="00595296" w:rsidRPr="006F4D70" w:rsidRDefault="002B7F4D">
      <w:pPr>
        <w:autoSpaceDE w:val="0"/>
        <w:autoSpaceDN w:val="0"/>
        <w:adjustRightInd w:val="0"/>
        <w:ind w:firstLine="482"/>
        <w:rPr>
          <w:rFonts w:asciiTheme="minorEastAsia" w:eastAsiaTheme="minorEastAsia" w:hAnsiTheme="minorEastAsia"/>
          <w:b/>
          <w:kern w:val="0"/>
        </w:rPr>
      </w:pPr>
      <w:r w:rsidRPr="006F4D70">
        <w:rPr>
          <w:rFonts w:asciiTheme="minorEastAsia" w:eastAsiaTheme="minorEastAsia" w:hAnsiTheme="minorEastAsia" w:hint="eastAsia"/>
          <w:b/>
          <w:kern w:val="0"/>
        </w:rPr>
        <w:t>八、当出现下述情况时，</w:t>
      </w:r>
      <w:r w:rsidR="00D62F75" w:rsidRPr="00D62F75">
        <w:rPr>
          <w:rFonts w:asciiTheme="minorEastAsia" w:eastAsiaTheme="minorEastAsia" w:hAnsiTheme="minorEastAsia" w:hint="eastAsia"/>
          <w:b/>
          <w:kern w:val="0"/>
        </w:rPr>
        <w:t>基金管理人和基金托管人</w:t>
      </w:r>
      <w:r w:rsidRPr="006F4D70">
        <w:rPr>
          <w:rFonts w:asciiTheme="minorEastAsia" w:eastAsiaTheme="minorEastAsia" w:hAnsiTheme="minorEastAsia" w:hint="eastAsia"/>
          <w:b/>
          <w:kern w:val="0"/>
        </w:rPr>
        <w:t>可暂停或延迟披露基金相关信息：</w:t>
      </w:r>
    </w:p>
    <w:p w14:paraId="0188AE6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1、不可抗力</w:t>
      </w:r>
      <w:r w:rsidRPr="006F4D70">
        <w:rPr>
          <w:rFonts w:asciiTheme="minorEastAsia" w:eastAsiaTheme="minorEastAsia" w:hAnsiTheme="minorEastAsia" w:cs="宋体" w:hint="eastAsia"/>
          <w:kern w:val="0"/>
          <w:szCs w:val="24"/>
        </w:rPr>
        <w:t>；</w:t>
      </w:r>
    </w:p>
    <w:p w14:paraId="7398246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2、发生暂停估值的情形；</w:t>
      </w:r>
    </w:p>
    <w:p w14:paraId="2EB93B9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3、法律法规、基金合同或中国证监会规定的其他情况。</w:t>
      </w:r>
    </w:p>
    <w:p w14:paraId="1330E442" w14:textId="77777777" w:rsidR="00595296" w:rsidRPr="006F4D70" w:rsidRDefault="00595296">
      <w:pPr>
        <w:autoSpaceDE w:val="0"/>
        <w:autoSpaceDN w:val="0"/>
        <w:adjustRightInd w:val="0"/>
        <w:ind w:firstLine="480"/>
        <w:rPr>
          <w:rFonts w:asciiTheme="minorEastAsia" w:eastAsiaTheme="minorEastAsia" w:hAnsiTheme="minorEastAsia" w:cs="宋体"/>
          <w:kern w:val="0"/>
          <w:szCs w:val="24"/>
        </w:rPr>
      </w:pPr>
    </w:p>
    <w:p w14:paraId="55B172DF" w14:textId="77777777" w:rsidR="00595296" w:rsidRPr="006F4D70" w:rsidRDefault="002B7F4D">
      <w:pPr>
        <w:pStyle w:val="1"/>
        <w:ind w:firstLine="602"/>
        <w:rPr>
          <w:rFonts w:asciiTheme="minorEastAsia" w:eastAsiaTheme="minorEastAsia" w:hAnsiTheme="minorEastAsia"/>
          <w:kern w:val="0"/>
        </w:rPr>
      </w:pPr>
      <w:r w:rsidRPr="006F4D70">
        <w:rPr>
          <w:rFonts w:asciiTheme="minorEastAsia" w:eastAsiaTheme="minorEastAsia" w:hAnsiTheme="minorEastAsia"/>
          <w:kern w:val="0"/>
        </w:rPr>
        <w:br w:type="page"/>
      </w:r>
      <w:bookmarkStart w:id="254" w:name="_Toc377998634"/>
      <w:bookmarkStart w:id="255" w:name="_Toc198902631"/>
      <w:bookmarkStart w:id="256" w:name="_Hlk224895960"/>
      <w:r w:rsidRPr="006F4D70">
        <w:rPr>
          <w:rFonts w:asciiTheme="minorEastAsia" w:eastAsiaTheme="minorEastAsia" w:hAnsiTheme="minorEastAsia" w:hint="eastAsia"/>
          <w:kern w:val="0"/>
        </w:rPr>
        <w:lastRenderedPageBreak/>
        <w:t>第十九部分    基金合同的变更、终止与基金财产的清算</w:t>
      </w:r>
      <w:bookmarkEnd w:id="254"/>
      <w:bookmarkEnd w:id="255"/>
    </w:p>
    <w:p w14:paraId="1390A60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bookmarkStart w:id="257" w:name="_Toc79392639"/>
      <w:bookmarkStart w:id="258" w:name="_Hlk131362226"/>
      <w:r w:rsidRPr="006F4D70">
        <w:rPr>
          <w:rFonts w:asciiTheme="minorEastAsia" w:eastAsiaTheme="minorEastAsia" w:hAnsiTheme="minorEastAsia" w:cs="宋体" w:hint="eastAsia"/>
          <w:b/>
          <w:bCs/>
          <w:kern w:val="0"/>
          <w:szCs w:val="24"/>
        </w:rPr>
        <w:t>一、《基金合同》的变更</w:t>
      </w:r>
      <w:bookmarkEnd w:id="257"/>
    </w:p>
    <w:p w14:paraId="2F3D8221" w14:textId="47E03BBF"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1、变更基金合同</w:t>
      </w:r>
      <w:r w:rsidRPr="006F4D70">
        <w:rPr>
          <w:rFonts w:asciiTheme="minorEastAsia" w:eastAsiaTheme="minorEastAsia" w:hAnsiTheme="minorEastAsia" w:cs="宋体" w:hint="eastAsia"/>
          <w:kern w:val="0"/>
          <w:szCs w:val="24"/>
        </w:rPr>
        <w:t>涉及</w:t>
      </w:r>
      <w:r w:rsidRPr="006F4D70">
        <w:rPr>
          <w:rFonts w:asciiTheme="minorEastAsia" w:eastAsiaTheme="minorEastAsia" w:hAnsiTheme="minorEastAsia" w:cs="宋体"/>
          <w:kern w:val="0"/>
          <w:szCs w:val="24"/>
        </w:rPr>
        <w:t>法律法规规定或本</w:t>
      </w:r>
      <w:r w:rsidRPr="006F4D70">
        <w:rPr>
          <w:rFonts w:asciiTheme="minorEastAsia" w:eastAsiaTheme="minorEastAsia" w:hAnsiTheme="minorEastAsia" w:cs="宋体" w:hint="eastAsia"/>
          <w:kern w:val="0"/>
          <w:szCs w:val="24"/>
        </w:rPr>
        <w:t>基金</w:t>
      </w:r>
      <w:r w:rsidRPr="006F4D70">
        <w:rPr>
          <w:rFonts w:asciiTheme="minorEastAsia" w:eastAsiaTheme="minorEastAsia" w:hAnsiTheme="minorEastAsia" w:cs="宋体"/>
          <w:kern w:val="0"/>
          <w:szCs w:val="24"/>
        </w:rPr>
        <w:t>合同约定应经基金份额持有人大会决议通过的事项的，应召开基金份额持有人大会决议通过。对于</w:t>
      </w:r>
      <w:r w:rsidRPr="006F4D70">
        <w:rPr>
          <w:rFonts w:asciiTheme="minorEastAsia" w:eastAsiaTheme="minorEastAsia" w:hAnsiTheme="minorEastAsia" w:cs="宋体" w:hint="eastAsia"/>
          <w:kern w:val="0"/>
          <w:szCs w:val="24"/>
        </w:rPr>
        <w:t>法律法规规定和基金合同约定</w:t>
      </w:r>
      <w:r w:rsidRPr="006F4D70">
        <w:rPr>
          <w:rFonts w:asciiTheme="minorEastAsia" w:eastAsiaTheme="minorEastAsia" w:hAnsiTheme="minorEastAsia" w:cs="宋体"/>
          <w:kern w:val="0"/>
          <w:szCs w:val="24"/>
        </w:rPr>
        <w:t>可不经基金份额持有人大会决议通过的事项，由基金管理人和基金托管人</w:t>
      </w:r>
      <w:r w:rsidR="00D62F75" w:rsidRPr="00D62F75">
        <w:rPr>
          <w:rFonts w:asciiTheme="minorEastAsia" w:eastAsiaTheme="minorEastAsia" w:hAnsiTheme="minorEastAsia" w:cs="宋体" w:hint="eastAsia"/>
          <w:kern w:val="0"/>
          <w:szCs w:val="24"/>
        </w:rPr>
        <w:t>协商一致</w:t>
      </w:r>
      <w:r w:rsidRPr="006F4D70">
        <w:rPr>
          <w:rFonts w:asciiTheme="minorEastAsia" w:eastAsiaTheme="minorEastAsia" w:hAnsiTheme="minorEastAsia" w:cs="宋体"/>
          <w:kern w:val="0"/>
          <w:szCs w:val="24"/>
        </w:rPr>
        <w:t>后变更并公告。</w:t>
      </w:r>
    </w:p>
    <w:p w14:paraId="65B5F8F0" w14:textId="234BE5C2"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、关于《基金合同》变更的基金份额持有人大会决议自</w:t>
      </w:r>
      <w:r w:rsidR="00D62F75" w:rsidRPr="00D62F75">
        <w:rPr>
          <w:rFonts w:asciiTheme="minorEastAsia" w:eastAsiaTheme="minorEastAsia" w:hAnsiTheme="minorEastAsia" w:cs="宋体" w:hint="eastAsia"/>
          <w:kern w:val="0"/>
          <w:szCs w:val="24"/>
        </w:rPr>
        <w:t>表决通过之日起生效，</w:t>
      </w:r>
      <w:r w:rsidRPr="006F4D70">
        <w:rPr>
          <w:rFonts w:asciiTheme="minorEastAsia" w:eastAsiaTheme="minorEastAsia" w:hAnsiTheme="minorEastAsia" w:cs="宋体" w:hint="eastAsia"/>
          <w:kern w:val="0"/>
          <w:szCs w:val="24"/>
        </w:rPr>
        <w:t>生效后方可执行，自决议生效后</w:t>
      </w: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日内在规定媒介公告。</w:t>
      </w:r>
    </w:p>
    <w:p w14:paraId="111BFDEF"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二、《基金合同》的终止事由</w:t>
      </w:r>
    </w:p>
    <w:p w14:paraId="79E97F21"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有下列情形之一的，经履行相关程序后，《基金合同》应当终止：</w:t>
      </w:r>
    </w:p>
    <w:p w14:paraId="0DBF15D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1、基金份额持有人大会决定终止的；</w:t>
      </w:r>
    </w:p>
    <w:p w14:paraId="76B6A94E"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2、基金管理人、基金托管人职责终止，在</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个月内没有新基金管理人、新基金托管人承接的；</w:t>
      </w:r>
    </w:p>
    <w:p w14:paraId="588A165C"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3、《基金合同》约定的其他情形；</w:t>
      </w:r>
    </w:p>
    <w:p w14:paraId="4488BF88"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4、相关法律法规和中国证监会规定的其他情况。</w:t>
      </w:r>
    </w:p>
    <w:p w14:paraId="4D28A4C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三、基金财产的清算</w:t>
      </w:r>
    </w:p>
    <w:p w14:paraId="2B45BD4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、基金财产清算小组：自出现《基金合同》终止事由之日起</w:t>
      </w:r>
      <w:r w:rsidRPr="006F4D70">
        <w:rPr>
          <w:rFonts w:asciiTheme="minorEastAsia" w:eastAsiaTheme="minorEastAsia" w:hAnsiTheme="minorEastAsia" w:cs="宋体"/>
          <w:kern w:val="0"/>
          <w:szCs w:val="24"/>
        </w:rPr>
        <w:t>30</w:t>
      </w:r>
      <w:r w:rsidRPr="006F4D70">
        <w:rPr>
          <w:rFonts w:asciiTheme="minorEastAsia" w:eastAsiaTheme="minorEastAsia" w:hAnsiTheme="minorEastAsia" w:cs="宋体" w:hint="eastAsia"/>
          <w:kern w:val="0"/>
          <w:szCs w:val="24"/>
        </w:rPr>
        <w:t>个工作日内成立清算小组，基金管理人组织基金财产清算小组并在中国证监会的监督下进行基金清算。</w:t>
      </w:r>
    </w:p>
    <w:p w14:paraId="2D7C4BD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、基金财产清算小组组成：基金财产清算小组成员由基金管理人、基金托管人、符合法律法规规定的注册会计师、律师以及中国证监会指定的人员组成。基金财产清算小组可以聘用必要的工作人员。</w:t>
      </w:r>
    </w:p>
    <w:p w14:paraId="1475CC7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、基金财产清算小组职责：基金财产清算小组负责基金财产的保管、清理、估价、变现和分配。基金财产清算小组可以依法进行必要的民事活动。</w:t>
      </w:r>
    </w:p>
    <w:p w14:paraId="06320A3D"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、基金财产清算程序：</w:t>
      </w:r>
    </w:p>
    <w:p w14:paraId="48BF763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w:t>
      </w: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）《基金合同》终止情形出现时，由基金财产清算小组统一接管基金；</w:t>
      </w:r>
    </w:p>
    <w:p w14:paraId="7425F9D5"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（2）对基金财产和债权债务进行清理和确认；</w:t>
      </w:r>
    </w:p>
    <w:p w14:paraId="6FEE5DE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（3）对基金财产进行估值和变现；</w:t>
      </w:r>
    </w:p>
    <w:p w14:paraId="26948A8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lastRenderedPageBreak/>
        <w:t>（4）制作清算报告；</w:t>
      </w:r>
    </w:p>
    <w:p w14:paraId="2B935EBF"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（5）聘请会计师事务所对清算报告进行外部审计，聘请律师事务所对清算报告出具法律意见书；</w:t>
      </w:r>
    </w:p>
    <w:p w14:paraId="4FA688F9"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（6）将清算报告报中国证监会备案并公告；</w:t>
      </w:r>
    </w:p>
    <w:p w14:paraId="42E18C27"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（7）对基金剩余财产进行分配。</w:t>
      </w:r>
    </w:p>
    <w:p w14:paraId="61CA89E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、基金财产清算的期限为</w:t>
      </w:r>
      <w:r w:rsidRPr="006F4D70">
        <w:rPr>
          <w:rFonts w:asciiTheme="minorEastAsia" w:eastAsiaTheme="minorEastAsia" w:hAnsiTheme="minorEastAsia" w:cs="宋体"/>
          <w:kern w:val="0"/>
          <w:szCs w:val="24"/>
        </w:rPr>
        <w:t>6</w:t>
      </w:r>
      <w:r w:rsidRPr="006F4D70">
        <w:rPr>
          <w:rFonts w:asciiTheme="minorEastAsia" w:eastAsiaTheme="minorEastAsia" w:hAnsiTheme="minorEastAsia" w:cs="宋体" w:hint="eastAsia"/>
          <w:kern w:val="0"/>
          <w:szCs w:val="24"/>
        </w:rPr>
        <w:t>个月，但因本基金所持证券的流动性受到限制而不能及时变现的，清算期限相应顺延。</w:t>
      </w:r>
    </w:p>
    <w:p w14:paraId="32189B8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四、清算费用</w:t>
      </w:r>
    </w:p>
    <w:p w14:paraId="7512C67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清算费用是指基金财产清算小组在进行基金财产清算过程中发生的所有合理费用，清算费用由基金财产清算小组优先从基金剩余财产中支付。</w:t>
      </w:r>
    </w:p>
    <w:p w14:paraId="6C54567C"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五、基金财产清算剩余资产的分配</w:t>
      </w:r>
    </w:p>
    <w:p w14:paraId="3F521F57" w14:textId="77777777" w:rsidR="00C63043"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依据基金财产清算的分配方案，将基金财产清算后的全部剩余资产扣除基金财产清算费用、交纳所欠税款并清偿基金债务后，按基金份额持有人持有的基金份额比例进行分配</w:t>
      </w:r>
      <w:r w:rsidR="00F25F6E" w:rsidRPr="009B2675">
        <w:rPr>
          <w:rFonts w:asciiTheme="minorEastAsia" w:eastAsiaTheme="minorEastAsia" w:hAnsiTheme="minorEastAsia" w:cs="宋体" w:hint="eastAsia"/>
          <w:kern w:val="0"/>
          <w:szCs w:val="24"/>
        </w:rPr>
        <w:t>，并扣除相应的超额管理费（如涉及）</w:t>
      </w:r>
      <w:r w:rsidRPr="006F4D70">
        <w:rPr>
          <w:rFonts w:asciiTheme="minorEastAsia" w:eastAsiaTheme="minorEastAsia" w:hAnsiTheme="minorEastAsia" w:cs="宋体" w:hint="eastAsia"/>
          <w:kern w:val="0"/>
          <w:szCs w:val="24"/>
        </w:rPr>
        <w:t>。</w:t>
      </w:r>
    </w:p>
    <w:p w14:paraId="7A86C71C" w14:textId="38AEE6E6" w:rsidR="00595296" w:rsidRPr="006F4D70" w:rsidRDefault="00C63043">
      <w:pPr>
        <w:autoSpaceDE w:val="0"/>
        <w:autoSpaceDN w:val="0"/>
        <w:adjustRightInd w:val="0"/>
        <w:ind w:firstLine="480"/>
        <w:rPr>
          <w:rFonts w:asciiTheme="minorEastAsia" w:eastAsiaTheme="minorEastAsia" w:hAnsiTheme="minorEastAsia" w:cs="宋体"/>
          <w:kern w:val="0"/>
          <w:szCs w:val="24"/>
        </w:rPr>
      </w:pPr>
      <w:r w:rsidRPr="003E6564">
        <w:rPr>
          <w:rFonts w:ascii="宋体" w:hAnsi="Calibri" w:cs="宋体" w:hint="eastAsia"/>
          <w:bCs/>
          <w:szCs w:val="24"/>
          <w:lang w:bidi="en-US"/>
        </w:rPr>
        <w:t>其中，对于投资</w:t>
      </w:r>
      <w:r>
        <w:rPr>
          <w:rFonts w:ascii="宋体" w:hAnsi="Calibri" w:cs="宋体" w:hint="eastAsia"/>
          <w:bCs/>
          <w:szCs w:val="24"/>
          <w:lang w:bidi="en-US"/>
        </w:rPr>
        <w:t>人</w:t>
      </w:r>
      <w:r w:rsidRPr="003E6564">
        <w:rPr>
          <w:rFonts w:ascii="宋体" w:hAnsi="Calibri" w:cs="宋体" w:hint="eastAsia"/>
          <w:bCs/>
          <w:szCs w:val="24"/>
          <w:lang w:bidi="en-US"/>
        </w:rPr>
        <w:t>通过</w:t>
      </w:r>
      <w:r>
        <w:rPr>
          <w:rFonts w:ascii="宋体" w:hAnsi="Calibri" w:cs="宋体" w:hint="eastAsia"/>
          <w:bCs/>
          <w:szCs w:val="24"/>
          <w:lang w:bidi="en-US"/>
        </w:rPr>
        <w:t>基金管理人</w:t>
      </w:r>
      <w:r w:rsidRPr="003E6564">
        <w:rPr>
          <w:rFonts w:ascii="宋体" w:hAnsi="Calibri" w:cs="宋体" w:hint="eastAsia"/>
          <w:bCs/>
          <w:szCs w:val="24"/>
          <w:lang w:bidi="en-US"/>
        </w:rPr>
        <w:t>认购/申购的或者通过</w:t>
      </w:r>
      <w:r>
        <w:rPr>
          <w:rFonts w:ascii="宋体" w:hAnsi="Calibri" w:cs="宋体" w:hint="eastAsia"/>
          <w:bCs/>
          <w:szCs w:val="24"/>
          <w:lang w:bidi="en-US"/>
        </w:rPr>
        <w:t>代销机构</w:t>
      </w:r>
      <w:r w:rsidRPr="003E6564">
        <w:rPr>
          <w:rFonts w:ascii="宋体" w:hAnsi="Calibri" w:cs="宋体" w:hint="eastAsia"/>
          <w:bCs/>
          <w:szCs w:val="24"/>
          <w:lang w:bidi="en-US"/>
        </w:rPr>
        <w:t>认购/申购且</w:t>
      </w:r>
      <w:r w:rsidRPr="003E6564">
        <w:rPr>
          <w:rFonts w:ascii="宋体" w:hAnsi="Calibri" w:cs="宋体"/>
          <w:bCs/>
          <w:szCs w:val="24"/>
          <w:lang w:bidi="en-US"/>
        </w:rPr>
        <w:t>持续持有期限超过一年</w:t>
      </w:r>
      <w:r>
        <w:rPr>
          <w:rFonts w:ascii="宋体" w:hAnsi="Calibri" w:cs="宋体" w:hint="eastAsia"/>
          <w:bCs/>
          <w:szCs w:val="24"/>
          <w:lang w:bidi="en-US"/>
        </w:rPr>
        <w:t>（即3</w:t>
      </w:r>
      <w:r>
        <w:rPr>
          <w:rFonts w:ascii="宋体" w:hAnsi="Calibri" w:cs="宋体"/>
          <w:bCs/>
          <w:szCs w:val="24"/>
          <w:lang w:bidi="en-US"/>
        </w:rPr>
        <w:t>65</w:t>
      </w:r>
      <w:r>
        <w:rPr>
          <w:rFonts w:ascii="宋体" w:hAnsi="Calibri" w:cs="宋体" w:hint="eastAsia"/>
          <w:bCs/>
          <w:szCs w:val="24"/>
          <w:lang w:bidi="en-US"/>
        </w:rPr>
        <w:t>天）</w:t>
      </w:r>
      <w:r w:rsidRPr="003E6564">
        <w:rPr>
          <w:rFonts w:ascii="宋体" w:hAnsi="Calibri" w:cs="宋体"/>
          <w:bCs/>
          <w:szCs w:val="24"/>
          <w:lang w:bidi="en-US"/>
        </w:rPr>
        <w:t>的</w:t>
      </w:r>
      <w:r w:rsidRPr="003E6564">
        <w:rPr>
          <w:rFonts w:ascii="宋体" w:hAnsi="Calibri" w:cs="宋体" w:hint="eastAsia"/>
          <w:bCs/>
          <w:szCs w:val="24"/>
          <w:lang w:bidi="en-US"/>
        </w:rPr>
        <w:t>C类基金份额，</w:t>
      </w:r>
      <w:r>
        <w:rPr>
          <w:rFonts w:ascii="宋体" w:hAnsi="Calibri" w:cs="宋体" w:hint="eastAsia"/>
          <w:bCs/>
          <w:szCs w:val="24"/>
          <w:lang w:bidi="en-US"/>
        </w:rPr>
        <w:t>直销</w:t>
      </w:r>
      <w:r w:rsidRPr="003E6564">
        <w:rPr>
          <w:rFonts w:ascii="宋体" w:hAnsi="Calibri" w:cs="宋体" w:hint="eastAsia"/>
          <w:bCs/>
          <w:szCs w:val="24"/>
          <w:lang w:bidi="en-US"/>
        </w:rPr>
        <w:t>计提的销售服务费</w:t>
      </w:r>
      <w:r>
        <w:rPr>
          <w:rFonts w:ascii="宋体" w:hAnsi="Calibri" w:cs="宋体" w:hint="eastAsia"/>
          <w:bCs/>
          <w:szCs w:val="24"/>
          <w:lang w:bidi="en-US"/>
        </w:rPr>
        <w:t>和代销持有超过一年后计提的销售服务费</w:t>
      </w:r>
      <w:r w:rsidRPr="003E6564">
        <w:rPr>
          <w:rFonts w:ascii="宋体" w:hAnsi="Calibri" w:cs="宋体" w:hint="eastAsia"/>
          <w:bCs/>
          <w:szCs w:val="24"/>
          <w:lang w:bidi="en-US"/>
        </w:rPr>
        <w:t>将</w:t>
      </w:r>
      <w:r w:rsidRPr="00973842">
        <w:rPr>
          <w:rFonts w:hint="eastAsia"/>
          <w:bCs/>
          <w:szCs w:val="24"/>
        </w:rPr>
        <w:t>在基金合同终止时随剩余资产分配款项一并返还给投资者</w:t>
      </w:r>
      <w:r>
        <w:rPr>
          <w:rFonts w:ascii="宋体" w:hAnsi="Calibri" w:cs="宋体" w:hint="eastAsia"/>
          <w:bCs/>
          <w:szCs w:val="24"/>
          <w:lang w:bidi="en-US"/>
        </w:rPr>
        <w:t>。</w:t>
      </w:r>
    </w:p>
    <w:p w14:paraId="1F9164F3"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六、基金财产清算的公告</w:t>
      </w:r>
    </w:p>
    <w:p w14:paraId="27DA87C9" w14:textId="22D3528F"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259" w:name="_Hlk210042469"/>
      <w:r w:rsidRPr="006F4D70">
        <w:rPr>
          <w:rFonts w:asciiTheme="minorEastAsia" w:eastAsiaTheme="minorEastAsia" w:hAnsiTheme="minorEastAsia" w:cs="宋体" w:hint="eastAsia"/>
          <w:kern w:val="0"/>
          <w:szCs w:val="24"/>
        </w:rPr>
        <w:t>清算过程中的有关重大事项须及时公告；基金财产清算报告经符合《中华人民共和国证券法》规定</w:t>
      </w:r>
      <w:r w:rsidRPr="006F4D70">
        <w:rPr>
          <w:rFonts w:asciiTheme="minorEastAsia" w:eastAsiaTheme="minorEastAsia" w:hAnsiTheme="minorEastAsia" w:hint="eastAsia"/>
          <w:kern w:val="0"/>
        </w:rPr>
        <w:t>的</w:t>
      </w:r>
      <w:r w:rsidRPr="006F4D70">
        <w:rPr>
          <w:rFonts w:asciiTheme="minorEastAsia" w:eastAsiaTheme="minorEastAsia" w:hAnsiTheme="minorEastAsia" w:cs="宋体" w:hint="eastAsia"/>
          <w:kern w:val="0"/>
          <w:szCs w:val="24"/>
        </w:rPr>
        <w:t>会计师事务所审计并由律师事务所出具法律意见书后报中国证监会备案并公告。基金财产清算</w:t>
      </w:r>
      <w:r w:rsidR="004E3A63">
        <w:rPr>
          <w:rFonts w:asciiTheme="minorEastAsia" w:eastAsiaTheme="minorEastAsia" w:hAnsiTheme="minorEastAsia" w:cs="宋体" w:hint="eastAsia"/>
          <w:kern w:val="0"/>
          <w:szCs w:val="24"/>
        </w:rPr>
        <w:t>报告</w:t>
      </w:r>
      <w:r w:rsidRPr="006F4D70">
        <w:rPr>
          <w:rFonts w:asciiTheme="minorEastAsia" w:eastAsiaTheme="minorEastAsia" w:hAnsiTheme="minorEastAsia" w:cs="宋体" w:hint="eastAsia"/>
          <w:kern w:val="0"/>
          <w:szCs w:val="24"/>
        </w:rPr>
        <w:t>于报中国证监会备案后</w:t>
      </w:r>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个工作日内由基金财产清算小组进行公告</w:t>
      </w:r>
      <w:r w:rsidRPr="006F4D70">
        <w:rPr>
          <w:rFonts w:asciiTheme="minorEastAsia" w:eastAsiaTheme="minorEastAsia" w:hAnsiTheme="minorEastAsia" w:hint="eastAsia"/>
          <w:kern w:val="0"/>
        </w:rPr>
        <w:t>，基金财产清算小组应当将清算报告登载在规定网站上，并将清算报告提示性公告登载在规定报刊上</w:t>
      </w:r>
      <w:bookmarkEnd w:id="259"/>
      <w:r w:rsidRPr="006F4D70">
        <w:rPr>
          <w:rFonts w:asciiTheme="minorEastAsia" w:eastAsiaTheme="minorEastAsia" w:hAnsiTheme="minorEastAsia" w:cs="宋体" w:hint="eastAsia"/>
          <w:kern w:val="0"/>
          <w:szCs w:val="24"/>
        </w:rPr>
        <w:t>。</w:t>
      </w:r>
    </w:p>
    <w:p w14:paraId="0597E4C4" w14:textId="77777777" w:rsidR="00595296" w:rsidRPr="006F4D70" w:rsidRDefault="002B7F4D">
      <w:pPr>
        <w:autoSpaceDE w:val="0"/>
        <w:autoSpaceDN w:val="0"/>
        <w:adjustRightInd w:val="0"/>
        <w:ind w:firstLine="482"/>
        <w:rPr>
          <w:rFonts w:asciiTheme="minorEastAsia" w:eastAsiaTheme="minorEastAsia" w:hAnsiTheme="minorEastAsia" w:cs="宋体"/>
          <w:b/>
          <w:bCs/>
          <w:kern w:val="0"/>
          <w:szCs w:val="24"/>
        </w:rPr>
      </w:pPr>
      <w:r w:rsidRPr="006F4D70">
        <w:rPr>
          <w:rFonts w:asciiTheme="minorEastAsia" w:eastAsiaTheme="minorEastAsia" w:hAnsiTheme="minorEastAsia" w:cs="宋体" w:hint="eastAsia"/>
          <w:b/>
          <w:bCs/>
          <w:kern w:val="0"/>
          <w:szCs w:val="24"/>
        </w:rPr>
        <w:t>七、基金财产清算账册及文件的保存</w:t>
      </w:r>
    </w:p>
    <w:p w14:paraId="2F2FF64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基金财产清算账册及有关文件由基金托管人保存</w:t>
      </w:r>
      <w:r w:rsidRPr="006F4D70">
        <w:rPr>
          <w:rFonts w:asciiTheme="minorEastAsia" w:eastAsiaTheme="minorEastAsia" w:hAnsiTheme="minorEastAsia" w:cs="宋体"/>
          <w:kern w:val="0"/>
          <w:szCs w:val="24"/>
        </w:rPr>
        <w:t>，保存期限不</w:t>
      </w:r>
      <w:r w:rsidRPr="006F4D70">
        <w:rPr>
          <w:rFonts w:asciiTheme="minorEastAsia" w:eastAsiaTheme="minorEastAsia" w:hAnsiTheme="minorEastAsia" w:cs="宋体" w:hint="eastAsia"/>
          <w:kern w:val="0"/>
          <w:szCs w:val="24"/>
        </w:rPr>
        <w:t>少于法定最低</w:t>
      </w:r>
      <w:r w:rsidRPr="006F4D70">
        <w:rPr>
          <w:rFonts w:asciiTheme="minorEastAsia" w:eastAsiaTheme="minorEastAsia" w:hAnsiTheme="minorEastAsia" w:cs="宋体"/>
          <w:kern w:val="0"/>
          <w:szCs w:val="24"/>
        </w:rPr>
        <w:t>期限</w:t>
      </w:r>
      <w:r w:rsidRPr="006F4D70">
        <w:rPr>
          <w:rFonts w:asciiTheme="minorEastAsia" w:eastAsiaTheme="minorEastAsia" w:hAnsiTheme="minorEastAsia" w:cs="宋体" w:hint="eastAsia"/>
          <w:kern w:val="0"/>
          <w:szCs w:val="24"/>
        </w:rPr>
        <w:t>。</w:t>
      </w:r>
    </w:p>
    <w:bookmarkEnd w:id="258"/>
    <w:p w14:paraId="5E0757FB" w14:textId="77777777" w:rsidR="00595296" w:rsidRPr="006F4D70" w:rsidRDefault="00595296">
      <w:pPr>
        <w:widowControl/>
        <w:ind w:firstLine="602"/>
        <w:rPr>
          <w:rFonts w:asciiTheme="minorEastAsia" w:eastAsiaTheme="minorEastAsia" w:hAnsiTheme="minorEastAsia" w:cs="宋体"/>
          <w:b/>
          <w:bCs/>
          <w:kern w:val="0"/>
          <w:sz w:val="30"/>
          <w:szCs w:val="30"/>
        </w:rPr>
      </w:pPr>
    </w:p>
    <w:p w14:paraId="5AC72ABF" w14:textId="77777777" w:rsidR="00595296" w:rsidRPr="006F4D70" w:rsidRDefault="002B7F4D">
      <w:pPr>
        <w:pStyle w:val="1"/>
        <w:ind w:firstLine="602"/>
        <w:rPr>
          <w:rFonts w:asciiTheme="minorEastAsia" w:eastAsiaTheme="minorEastAsia" w:hAnsiTheme="minorEastAsia"/>
          <w:kern w:val="0"/>
        </w:rPr>
      </w:pPr>
      <w:bookmarkStart w:id="260" w:name="_Toc123051466"/>
      <w:bookmarkStart w:id="261" w:name="_Toc123112248"/>
      <w:bookmarkStart w:id="262" w:name="_Toc98560365"/>
      <w:bookmarkStart w:id="263" w:name="_Toc123102467"/>
      <w:bookmarkStart w:id="264" w:name="_Toc79392641"/>
      <w:bookmarkStart w:id="265" w:name="_Toc48649720"/>
      <w:r w:rsidRPr="006F4D70">
        <w:rPr>
          <w:rFonts w:asciiTheme="minorEastAsia" w:eastAsiaTheme="minorEastAsia" w:hAnsiTheme="minorEastAsia"/>
          <w:kern w:val="0"/>
        </w:rPr>
        <w:br w:type="page"/>
      </w:r>
      <w:bookmarkStart w:id="266" w:name="_Toc13398"/>
      <w:bookmarkStart w:id="267" w:name="_Toc21240"/>
      <w:bookmarkStart w:id="268" w:name="_Toc30645"/>
      <w:bookmarkStart w:id="269" w:name="_Toc23022"/>
      <w:bookmarkStart w:id="270" w:name="_Toc139991750"/>
      <w:bookmarkStart w:id="271" w:name="_Toc27058"/>
      <w:bookmarkStart w:id="272" w:name="_Toc9708"/>
      <w:bookmarkStart w:id="273" w:name="_Toc141703901"/>
      <w:bookmarkStart w:id="274" w:name="_Toc23166"/>
      <w:bookmarkStart w:id="275" w:name="_Toc8710"/>
      <w:bookmarkStart w:id="276" w:name="_Toc28549"/>
      <w:bookmarkStart w:id="277" w:name="_Toc7367"/>
      <w:bookmarkStart w:id="278" w:name="_Toc377998635"/>
      <w:bookmarkStart w:id="279" w:name="_Toc12191"/>
      <w:bookmarkStart w:id="280" w:name="_Toc198902632"/>
      <w:bookmarkEnd w:id="256"/>
      <w:r w:rsidRPr="006F4D70">
        <w:rPr>
          <w:rFonts w:asciiTheme="minorEastAsia" w:eastAsiaTheme="minorEastAsia" w:hAnsiTheme="minorEastAsia" w:hint="eastAsia"/>
          <w:kern w:val="0"/>
        </w:rPr>
        <w:lastRenderedPageBreak/>
        <w:t>第二十部分    违约责任</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5BFD72D" w14:textId="77777777" w:rsidR="00595296" w:rsidRPr="006F4D70" w:rsidRDefault="002B7F4D">
      <w:pPr>
        <w:pStyle w:val="Default"/>
        <w:spacing w:line="360" w:lineRule="auto"/>
        <w:ind w:firstLineChars="200" w:firstLine="480"/>
        <w:jc w:val="both"/>
        <w:rPr>
          <w:rFonts w:asciiTheme="minorEastAsia" w:eastAsiaTheme="minorEastAsia" w:hAnsiTheme="minorEastAsia"/>
          <w:color w:val="auto"/>
        </w:rPr>
      </w:pPr>
      <w:r w:rsidRPr="006F4D70">
        <w:rPr>
          <w:rFonts w:asciiTheme="minorEastAsia" w:eastAsiaTheme="minorEastAsia" w:hAnsiTheme="minorEastAsia" w:hint="eastAsia"/>
          <w:color w:val="auto"/>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免责：</w:t>
      </w:r>
    </w:p>
    <w:p w14:paraId="4BAEA181" w14:textId="77777777" w:rsidR="00595296" w:rsidRPr="006F4D70" w:rsidRDefault="002B7F4D">
      <w:pPr>
        <w:pStyle w:val="Default"/>
        <w:spacing w:line="360" w:lineRule="auto"/>
        <w:ind w:firstLineChars="200" w:firstLine="480"/>
        <w:jc w:val="both"/>
        <w:rPr>
          <w:rFonts w:asciiTheme="minorEastAsia" w:eastAsiaTheme="minorEastAsia" w:hAnsiTheme="minorEastAsia"/>
          <w:color w:val="auto"/>
        </w:rPr>
      </w:pPr>
      <w:r w:rsidRPr="006F4D70">
        <w:rPr>
          <w:rFonts w:asciiTheme="minorEastAsia" w:eastAsiaTheme="minorEastAsia" w:hAnsiTheme="minorEastAsia" w:hint="eastAsia"/>
          <w:color w:val="auto"/>
        </w:rPr>
        <w:t>1、不可抗力；</w:t>
      </w:r>
    </w:p>
    <w:p w14:paraId="0576A8A2" w14:textId="77777777" w:rsidR="00595296" w:rsidRPr="006F4D70" w:rsidRDefault="002B7F4D">
      <w:pPr>
        <w:pStyle w:val="Default"/>
        <w:spacing w:line="360" w:lineRule="auto"/>
        <w:ind w:firstLineChars="200" w:firstLine="480"/>
        <w:jc w:val="both"/>
        <w:rPr>
          <w:rFonts w:asciiTheme="minorEastAsia" w:eastAsiaTheme="minorEastAsia" w:hAnsiTheme="minorEastAsia"/>
          <w:color w:val="auto"/>
        </w:rPr>
      </w:pPr>
      <w:r w:rsidRPr="006F4D70">
        <w:rPr>
          <w:rFonts w:asciiTheme="minorEastAsia" w:eastAsiaTheme="minorEastAsia" w:hAnsiTheme="minorEastAsia" w:hint="eastAsia"/>
          <w:color w:val="auto"/>
        </w:rPr>
        <w:t>2、基金管理人和/或基金托管人按照当时有效的法律法规或中国证监会等监管机构的规定作为或不作为而造成的损失等；</w:t>
      </w:r>
    </w:p>
    <w:p w14:paraId="34300F5E" w14:textId="77777777" w:rsidR="00595296" w:rsidRPr="006F4D70" w:rsidRDefault="002B7F4D">
      <w:pPr>
        <w:pStyle w:val="Default"/>
        <w:spacing w:line="360" w:lineRule="auto"/>
        <w:ind w:firstLineChars="200" w:firstLine="480"/>
        <w:jc w:val="both"/>
        <w:rPr>
          <w:rFonts w:asciiTheme="minorEastAsia" w:eastAsiaTheme="minorEastAsia" w:hAnsiTheme="minorEastAsia"/>
          <w:color w:val="auto"/>
        </w:rPr>
      </w:pPr>
      <w:r w:rsidRPr="006F4D70">
        <w:rPr>
          <w:rFonts w:asciiTheme="minorEastAsia" w:eastAsiaTheme="minorEastAsia" w:hAnsiTheme="minorEastAsia" w:hint="eastAsia"/>
          <w:color w:val="auto"/>
        </w:rPr>
        <w:t>3、基金管理人由于按照基金合同规定的投资原则行使或不行使投资权造成的损失等。</w:t>
      </w:r>
    </w:p>
    <w:p w14:paraId="32CA4BB0" w14:textId="77777777" w:rsidR="00595296" w:rsidRPr="006F4D70" w:rsidRDefault="002B7F4D">
      <w:pPr>
        <w:pStyle w:val="Default"/>
        <w:spacing w:line="360" w:lineRule="auto"/>
        <w:ind w:firstLineChars="200" w:firstLine="480"/>
        <w:jc w:val="both"/>
        <w:rPr>
          <w:rFonts w:asciiTheme="minorEastAsia" w:eastAsiaTheme="minorEastAsia" w:hAnsiTheme="minorEastAsia"/>
          <w:color w:val="auto"/>
        </w:rPr>
      </w:pPr>
      <w:r w:rsidRPr="006F4D70">
        <w:rPr>
          <w:rFonts w:asciiTheme="minorEastAsia" w:eastAsiaTheme="minorEastAsia" w:hAnsiTheme="minorEastAsia" w:hint="eastAsia"/>
          <w:color w:val="auto"/>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5C65DCE" w14:textId="77777777" w:rsidR="00595296" w:rsidRPr="006F4D70" w:rsidRDefault="002B7F4D">
      <w:pPr>
        <w:autoSpaceDE w:val="0"/>
        <w:autoSpaceDN w:val="0"/>
        <w:adjustRightInd w:val="0"/>
        <w:ind w:firstLine="480"/>
        <w:rPr>
          <w:rFonts w:asciiTheme="minorEastAsia" w:eastAsiaTheme="minorEastAsia" w:hAnsiTheme="minorEastAsia" w:cs="宋体"/>
          <w:b/>
          <w:kern w:val="0"/>
          <w:szCs w:val="24"/>
        </w:rPr>
      </w:pPr>
      <w:r w:rsidRPr="006F4D70">
        <w:rPr>
          <w:rFonts w:asciiTheme="minorEastAsia" w:eastAsiaTheme="minorEastAsia" w:hAnsiTheme="minorEastAsia" w:cs="宋体" w:hint="eastAsia"/>
          <w:kern w:val="0"/>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6096A85" w14:textId="77777777" w:rsidR="00595296" w:rsidRPr="006F4D70" w:rsidRDefault="00595296">
      <w:pPr>
        <w:widowControl/>
        <w:ind w:firstLine="602"/>
        <w:jc w:val="left"/>
        <w:rPr>
          <w:rFonts w:asciiTheme="minorEastAsia" w:eastAsiaTheme="minorEastAsia" w:hAnsiTheme="minorEastAsia" w:cs="宋体"/>
          <w:b/>
          <w:bCs/>
          <w:kern w:val="0"/>
          <w:sz w:val="30"/>
          <w:szCs w:val="30"/>
        </w:rPr>
      </w:pPr>
    </w:p>
    <w:p w14:paraId="6248637B" w14:textId="77777777" w:rsidR="00595296" w:rsidRPr="006F4D70" w:rsidRDefault="002B7F4D">
      <w:pPr>
        <w:pStyle w:val="1"/>
        <w:ind w:firstLine="602"/>
        <w:rPr>
          <w:rFonts w:asciiTheme="minorEastAsia" w:eastAsiaTheme="minorEastAsia" w:hAnsiTheme="minorEastAsia"/>
          <w:kern w:val="0"/>
        </w:rPr>
      </w:pPr>
      <w:r w:rsidRPr="006F4D70">
        <w:rPr>
          <w:rFonts w:asciiTheme="minorEastAsia" w:eastAsiaTheme="minorEastAsia" w:hAnsiTheme="minorEastAsia"/>
          <w:kern w:val="0"/>
        </w:rPr>
        <w:br w:type="page"/>
      </w:r>
      <w:bookmarkStart w:id="281" w:name="_Toc377998636"/>
      <w:bookmarkStart w:id="282" w:name="_Toc198902633"/>
      <w:bookmarkStart w:id="283" w:name="_Hlk224895967"/>
      <w:r w:rsidRPr="006F4D70">
        <w:rPr>
          <w:rFonts w:asciiTheme="minorEastAsia" w:eastAsiaTheme="minorEastAsia" w:hAnsiTheme="minorEastAsia" w:hint="eastAsia"/>
          <w:kern w:val="0"/>
        </w:rPr>
        <w:lastRenderedPageBreak/>
        <w:t>第二十一部分    争议的处理和适用的法律</w:t>
      </w:r>
      <w:bookmarkEnd w:id="281"/>
      <w:bookmarkEnd w:id="282"/>
    </w:p>
    <w:p w14:paraId="0E1D4692" w14:textId="0A8BD537" w:rsidR="00595296" w:rsidRPr="00FB138A" w:rsidRDefault="002B7F4D" w:rsidP="00FB138A">
      <w:pPr>
        <w:autoSpaceDE w:val="0"/>
        <w:autoSpaceDN w:val="0"/>
        <w:adjustRightInd w:val="0"/>
        <w:ind w:firstLine="482"/>
        <w:rPr>
          <w:rFonts w:asciiTheme="minorEastAsia" w:eastAsiaTheme="minorEastAsia" w:hAnsiTheme="minorEastAsia" w:cs="宋体"/>
          <w:b/>
          <w:kern w:val="0"/>
          <w:szCs w:val="24"/>
        </w:rPr>
      </w:pPr>
      <w:bookmarkStart w:id="284" w:name="_Hlk131362246"/>
      <w:r w:rsidRPr="00FB138A">
        <w:rPr>
          <w:rFonts w:asciiTheme="minorEastAsia" w:eastAsiaTheme="minorEastAsia" w:hAnsiTheme="minorEastAsia" w:cs="宋体" w:hint="eastAsia"/>
          <w:b/>
          <w:kern w:val="0"/>
          <w:szCs w:val="24"/>
        </w:rPr>
        <w:t>各方当事人同意，因《基金合同》而产生的或与《基金合同》有关的一切争议，如经友好协商、调解未能解决的，应提交</w:t>
      </w:r>
      <w:r w:rsidR="00D62F75" w:rsidRPr="00FB138A">
        <w:rPr>
          <w:rFonts w:asciiTheme="minorEastAsia" w:eastAsiaTheme="minorEastAsia" w:hAnsiTheme="minorEastAsia" w:cs="宋体" w:hint="eastAsia"/>
          <w:b/>
          <w:kern w:val="0"/>
          <w:szCs w:val="24"/>
        </w:rPr>
        <w:t>中国国际经济贸易仲裁委员会，仲裁地点为北京市，按照中国国际经济贸易仲裁委员会届时有效的仲裁规则进行仲裁。</w:t>
      </w:r>
      <w:r w:rsidRPr="00FB138A">
        <w:rPr>
          <w:rFonts w:asciiTheme="minorEastAsia" w:eastAsiaTheme="minorEastAsia" w:hAnsiTheme="minorEastAsia" w:cs="宋体" w:hint="eastAsia"/>
          <w:b/>
          <w:kern w:val="0"/>
          <w:szCs w:val="24"/>
        </w:rPr>
        <w:t>仲裁裁决是终局性的并对各方当事人具有约束力，除非仲裁裁决另有决定，仲裁费由败诉方承担。</w:t>
      </w:r>
    </w:p>
    <w:p w14:paraId="1428FD33"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争议处理期间，基金合同当事人应恪守各自的职责，继续忠实、勤勉、尽责地履行基金合同规定的义务，维护基金份额持有人的合法权益。</w:t>
      </w:r>
    </w:p>
    <w:p w14:paraId="03863CD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《基金合同》受中国法律</w:t>
      </w:r>
      <w:bookmarkStart w:id="285" w:name="_Hlk210042511"/>
      <w:r w:rsidRPr="006F4D70">
        <w:rPr>
          <w:rFonts w:asciiTheme="minorEastAsia" w:eastAsiaTheme="minorEastAsia" w:hAnsiTheme="minorEastAsia" w:cs="宋体" w:hint="eastAsia"/>
          <w:kern w:val="0"/>
          <w:szCs w:val="24"/>
        </w:rPr>
        <w:t>（为《基金合同》之目的，不包括香港特别行政区、澳门特别行政区和台湾地区法律）</w:t>
      </w:r>
      <w:bookmarkEnd w:id="285"/>
      <w:r w:rsidRPr="006F4D70">
        <w:rPr>
          <w:rFonts w:asciiTheme="minorEastAsia" w:eastAsiaTheme="minorEastAsia" w:hAnsiTheme="minorEastAsia" w:cs="宋体" w:hint="eastAsia"/>
          <w:kern w:val="0"/>
          <w:szCs w:val="24"/>
        </w:rPr>
        <w:t>管辖</w:t>
      </w:r>
      <w:bookmarkStart w:id="286" w:name="_Hlk210042522"/>
      <w:r w:rsidRPr="006F4D70">
        <w:rPr>
          <w:rFonts w:asciiTheme="minorEastAsia" w:eastAsiaTheme="minorEastAsia" w:hAnsiTheme="minorEastAsia" w:cs="宋体" w:hint="eastAsia"/>
          <w:kern w:val="0"/>
          <w:szCs w:val="24"/>
        </w:rPr>
        <w:t>并从其解释</w:t>
      </w:r>
      <w:bookmarkEnd w:id="286"/>
      <w:r w:rsidRPr="006F4D70">
        <w:rPr>
          <w:rFonts w:asciiTheme="minorEastAsia" w:eastAsiaTheme="minorEastAsia" w:hAnsiTheme="minorEastAsia" w:cs="宋体" w:hint="eastAsia"/>
          <w:kern w:val="0"/>
          <w:szCs w:val="24"/>
        </w:rPr>
        <w:t>。</w:t>
      </w:r>
    </w:p>
    <w:bookmarkEnd w:id="284"/>
    <w:p w14:paraId="4FD79C47" w14:textId="77777777" w:rsidR="00595296" w:rsidRPr="006F4D70" w:rsidRDefault="00595296">
      <w:pPr>
        <w:autoSpaceDE w:val="0"/>
        <w:autoSpaceDN w:val="0"/>
        <w:adjustRightInd w:val="0"/>
        <w:ind w:firstLine="602"/>
        <w:rPr>
          <w:rFonts w:asciiTheme="minorEastAsia" w:eastAsiaTheme="minorEastAsia" w:hAnsiTheme="minorEastAsia" w:cs="宋体"/>
          <w:b/>
          <w:bCs/>
          <w:kern w:val="0"/>
          <w:sz w:val="30"/>
          <w:szCs w:val="30"/>
        </w:rPr>
      </w:pPr>
    </w:p>
    <w:p w14:paraId="1D9329C9" w14:textId="77777777" w:rsidR="00595296" w:rsidRPr="006F4D70" w:rsidRDefault="002B7F4D">
      <w:pPr>
        <w:pStyle w:val="1"/>
        <w:ind w:firstLine="602"/>
        <w:rPr>
          <w:rFonts w:asciiTheme="minorEastAsia" w:eastAsiaTheme="minorEastAsia" w:hAnsiTheme="minorEastAsia"/>
          <w:kern w:val="0"/>
        </w:rPr>
      </w:pPr>
      <w:r w:rsidRPr="006F4D70">
        <w:rPr>
          <w:rFonts w:asciiTheme="minorEastAsia" w:eastAsiaTheme="minorEastAsia" w:hAnsiTheme="minorEastAsia"/>
          <w:kern w:val="0"/>
        </w:rPr>
        <w:br w:type="page"/>
      </w:r>
      <w:bookmarkStart w:id="287" w:name="_Toc377998637"/>
      <w:bookmarkStart w:id="288" w:name="_Toc198902634"/>
      <w:bookmarkEnd w:id="283"/>
      <w:r w:rsidRPr="006F4D70">
        <w:rPr>
          <w:rFonts w:asciiTheme="minorEastAsia" w:eastAsiaTheme="minorEastAsia" w:hAnsiTheme="minorEastAsia" w:hint="eastAsia"/>
          <w:kern w:val="0"/>
        </w:rPr>
        <w:lastRenderedPageBreak/>
        <w:t>第二十二部分    基金合同的效力</w:t>
      </w:r>
      <w:bookmarkEnd w:id="287"/>
      <w:bookmarkEnd w:id="288"/>
    </w:p>
    <w:p w14:paraId="31B6BD44"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《基金合同》是约定基金合同当事人之间权利义务关系的法律文件。</w:t>
      </w:r>
    </w:p>
    <w:p w14:paraId="4A87AADA"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1</w:t>
      </w:r>
      <w:r w:rsidRPr="006F4D70">
        <w:rPr>
          <w:rFonts w:asciiTheme="minorEastAsia" w:eastAsiaTheme="minorEastAsia" w:hAnsiTheme="minorEastAsia" w:cs="宋体" w:hint="eastAsia"/>
          <w:kern w:val="0"/>
          <w:szCs w:val="24"/>
        </w:rPr>
        <w:t>、《基金合同》经基金管理人、基金托管人双方加盖公章以及双方法定代表人或授权代表签字或盖章并在募集结束后经基金管理人向中国证监会办理基金备案手续，并经中国证监会书面确认后生效。</w:t>
      </w:r>
    </w:p>
    <w:p w14:paraId="51B23C2B"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2</w:t>
      </w:r>
      <w:r w:rsidRPr="006F4D70">
        <w:rPr>
          <w:rFonts w:asciiTheme="minorEastAsia" w:eastAsiaTheme="minorEastAsia" w:hAnsiTheme="minorEastAsia" w:cs="宋体" w:hint="eastAsia"/>
          <w:kern w:val="0"/>
          <w:szCs w:val="24"/>
        </w:rPr>
        <w:t>、《基金合同》的有效期自其生效之日起至基金财产清算结果报中国证监会备案并公告之日止。</w:t>
      </w:r>
    </w:p>
    <w:p w14:paraId="3DBB28B2"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3</w:t>
      </w:r>
      <w:r w:rsidRPr="006F4D70">
        <w:rPr>
          <w:rFonts w:asciiTheme="minorEastAsia" w:eastAsiaTheme="minorEastAsia" w:hAnsiTheme="minorEastAsia" w:cs="宋体" w:hint="eastAsia"/>
          <w:kern w:val="0"/>
          <w:szCs w:val="24"/>
        </w:rPr>
        <w:t>、《基金合同》自生效之日起对包括基金管理人、基金托管人和基金份额持有人在内的《基金合同》各方当事人具有同等的法律约束力。</w:t>
      </w:r>
    </w:p>
    <w:p w14:paraId="5014FDCB" w14:textId="7DA1F7A1" w:rsidR="00595296" w:rsidRPr="006F4D70" w:rsidRDefault="002B7F4D">
      <w:pPr>
        <w:autoSpaceDE w:val="0"/>
        <w:autoSpaceDN w:val="0"/>
        <w:adjustRightInd w:val="0"/>
        <w:ind w:firstLine="480"/>
        <w:rPr>
          <w:rFonts w:asciiTheme="minorEastAsia" w:eastAsiaTheme="minorEastAsia" w:hAnsiTheme="minorEastAsia" w:cs="宋体"/>
          <w:kern w:val="0"/>
          <w:szCs w:val="24"/>
        </w:rPr>
      </w:pPr>
      <w:r w:rsidRPr="006F4D70">
        <w:rPr>
          <w:rFonts w:asciiTheme="minorEastAsia" w:eastAsiaTheme="minorEastAsia" w:hAnsiTheme="minorEastAsia" w:cs="宋体"/>
          <w:kern w:val="0"/>
          <w:szCs w:val="24"/>
        </w:rPr>
        <w:t>4</w:t>
      </w:r>
      <w:r w:rsidRPr="006F4D70">
        <w:rPr>
          <w:rFonts w:asciiTheme="minorEastAsia" w:eastAsiaTheme="minorEastAsia" w:hAnsiTheme="minorEastAsia" w:cs="宋体" w:hint="eastAsia"/>
          <w:kern w:val="0"/>
          <w:szCs w:val="24"/>
        </w:rPr>
        <w:t>、《基金合同》</w:t>
      </w:r>
      <w:r w:rsidR="00BA02BA" w:rsidRPr="006F4D70">
        <w:rPr>
          <w:rFonts w:hint="eastAsia"/>
        </w:rPr>
        <w:t>正本一式</w:t>
      </w:r>
      <w:r w:rsidR="00BA02BA">
        <w:rPr>
          <w:rFonts w:hint="eastAsia"/>
          <w:bCs/>
        </w:rPr>
        <w:t>三</w:t>
      </w:r>
      <w:r w:rsidR="00BA02BA" w:rsidRPr="006F4D70">
        <w:rPr>
          <w:bCs/>
        </w:rPr>
        <w:t>份</w:t>
      </w:r>
      <w:r w:rsidR="00BA02BA" w:rsidRPr="006F4D70">
        <w:rPr>
          <w:rFonts w:hint="eastAsia"/>
        </w:rPr>
        <w:t>，</w:t>
      </w:r>
      <w:r w:rsidR="00BA02BA" w:rsidRPr="003B52D6">
        <w:rPr>
          <w:rFonts w:hint="eastAsia"/>
        </w:rPr>
        <w:t>除上报有关监管机构一份外</w:t>
      </w:r>
      <w:r w:rsidRPr="006F4D70">
        <w:rPr>
          <w:rFonts w:asciiTheme="minorEastAsia" w:eastAsiaTheme="minorEastAsia" w:hAnsiTheme="minorEastAsia" w:cs="宋体" w:hint="eastAsia"/>
          <w:kern w:val="0"/>
          <w:szCs w:val="24"/>
        </w:rPr>
        <w:t>，基金管理人、基金托管人各持有一份，每份具有同等的法律效力。</w:t>
      </w:r>
    </w:p>
    <w:p w14:paraId="50593960" w14:textId="77777777" w:rsidR="00595296" w:rsidRPr="006F4D70" w:rsidRDefault="002B7F4D">
      <w:pPr>
        <w:autoSpaceDE w:val="0"/>
        <w:autoSpaceDN w:val="0"/>
        <w:adjustRightInd w:val="0"/>
        <w:ind w:firstLine="480"/>
        <w:rPr>
          <w:rFonts w:asciiTheme="minorEastAsia" w:eastAsiaTheme="minorEastAsia" w:hAnsiTheme="minorEastAsia" w:cs="宋体"/>
          <w:kern w:val="0"/>
          <w:szCs w:val="24"/>
        </w:rPr>
      </w:pPr>
      <w:bookmarkStart w:id="289" w:name="_Hlk224895972"/>
      <w:r w:rsidRPr="006F4D70">
        <w:rPr>
          <w:rFonts w:asciiTheme="minorEastAsia" w:eastAsiaTheme="minorEastAsia" w:hAnsiTheme="minorEastAsia" w:cs="宋体"/>
          <w:kern w:val="0"/>
          <w:szCs w:val="24"/>
        </w:rPr>
        <w:t>5</w:t>
      </w:r>
      <w:r w:rsidRPr="006F4D70">
        <w:rPr>
          <w:rFonts w:asciiTheme="minorEastAsia" w:eastAsiaTheme="minorEastAsia" w:hAnsiTheme="minorEastAsia" w:cs="宋体" w:hint="eastAsia"/>
          <w:kern w:val="0"/>
          <w:szCs w:val="24"/>
        </w:rPr>
        <w:t>、《基金合同》可印制成册，供投资者在基金管理人、基金托管人、销售机构的办公场所和营业场所查阅。</w:t>
      </w:r>
    </w:p>
    <w:bookmarkEnd w:id="289"/>
    <w:p w14:paraId="09FAEF8B" w14:textId="77777777" w:rsidR="00595296" w:rsidRPr="006F4D70" w:rsidRDefault="00595296">
      <w:pPr>
        <w:autoSpaceDE w:val="0"/>
        <w:autoSpaceDN w:val="0"/>
        <w:adjustRightInd w:val="0"/>
        <w:ind w:firstLine="360"/>
        <w:jc w:val="left"/>
        <w:rPr>
          <w:rFonts w:asciiTheme="minorEastAsia" w:eastAsiaTheme="minorEastAsia" w:hAnsiTheme="minorEastAsia" w:cs="宋体"/>
          <w:kern w:val="0"/>
          <w:sz w:val="18"/>
          <w:szCs w:val="18"/>
        </w:rPr>
      </w:pPr>
    </w:p>
    <w:p w14:paraId="7AC46EE6" w14:textId="77777777" w:rsidR="00595296" w:rsidRPr="006F4D70" w:rsidRDefault="002B7F4D">
      <w:pPr>
        <w:widowControl/>
        <w:ind w:firstLine="360"/>
        <w:jc w:val="left"/>
        <w:rPr>
          <w:rFonts w:asciiTheme="minorEastAsia" w:eastAsiaTheme="minorEastAsia" w:hAnsiTheme="minorEastAsia" w:cs="宋体"/>
          <w:kern w:val="0"/>
          <w:sz w:val="18"/>
          <w:szCs w:val="18"/>
        </w:rPr>
      </w:pPr>
      <w:r w:rsidRPr="006F4D70">
        <w:rPr>
          <w:rFonts w:asciiTheme="minorEastAsia" w:eastAsiaTheme="minorEastAsia" w:hAnsiTheme="minorEastAsia" w:cs="宋体"/>
          <w:kern w:val="0"/>
          <w:sz w:val="18"/>
          <w:szCs w:val="18"/>
        </w:rPr>
        <w:br w:type="page"/>
      </w:r>
    </w:p>
    <w:p w14:paraId="5CDF71BA" w14:textId="77777777" w:rsidR="00595296" w:rsidRPr="006F4D70" w:rsidRDefault="002B7F4D">
      <w:pPr>
        <w:pStyle w:val="1"/>
        <w:ind w:firstLine="602"/>
        <w:rPr>
          <w:rFonts w:asciiTheme="minorEastAsia" w:eastAsiaTheme="minorEastAsia" w:hAnsiTheme="minorEastAsia"/>
          <w:kern w:val="0"/>
        </w:rPr>
      </w:pPr>
      <w:bookmarkStart w:id="290" w:name="_Toc377998638"/>
      <w:bookmarkStart w:id="291" w:name="_Toc198902635"/>
      <w:r w:rsidRPr="006F4D70">
        <w:rPr>
          <w:rFonts w:asciiTheme="minorEastAsia" w:eastAsiaTheme="minorEastAsia" w:hAnsiTheme="minorEastAsia" w:hint="eastAsia"/>
          <w:kern w:val="0"/>
        </w:rPr>
        <w:lastRenderedPageBreak/>
        <w:t>第二十三部分    其他事项</w:t>
      </w:r>
      <w:bookmarkEnd w:id="290"/>
      <w:bookmarkEnd w:id="291"/>
    </w:p>
    <w:p w14:paraId="6225E280" w14:textId="2E87EE0C" w:rsidR="00595296" w:rsidRDefault="002B7F4D">
      <w:pPr>
        <w:ind w:firstLine="480"/>
        <w:rPr>
          <w:rFonts w:asciiTheme="minorEastAsia" w:eastAsiaTheme="minorEastAsia" w:hAnsiTheme="minorEastAsia" w:cs="宋体"/>
          <w:kern w:val="0"/>
          <w:szCs w:val="24"/>
        </w:rPr>
      </w:pPr>
      <w:r w:rsidRPr="006F4D70">
        <w:rPr>
          <w:rFonts w:asciiTheme="minorEastAsia" w:eastAsiaTheme="minorEastAsia" w:hAnsiTheme="minorEastAsia" w:cs="宋体" w:hint="eastAsia"/>
          <w:kern w:val="0"/>
          <w:szCs w:val="24"/>
        </w:rPr>
        <w:t>《基金合同》如有未尽事宜，由《基金合同》当事人各方按有关法律法规协商解决。</w:t>
      </w:r>
      <w:bookmarkStart w:id="292" w:name="CTS_6a112d8dc54b4cbda796aa9ce419a6f0"/>
      <w:bookmarkEnd w:id="1"/>
      <w:bookmarkEnd w:id="53"/>
      <w:bookmarkEnd w:id="54"/>
      <w:bookmarkEnd w:id="292"/>
    </w:p>
    <w:p w14:paraId="2FC416E1" w14:textId="1142B7AF" w:rsidR="00C113F4" w:rsidRDefault="00C113F4">
      <w:pPr>
        <w:widowControl/>
        <w:spacing w:line="240" w:lineRule="auto"/>
        <w:ind w:firstLineChars="0" w:firstLine="0"/>
        <w:jc w:val="left"/>
        <w:rPr>
          <w:rFonts w:asciiTheme="minorEastAsia" w:eastAsiaTheme="minorEastAsia" w:hAnsiTheme="minorEastAsia" w:cs="宋体"/>
          <w:kern w:val="0"/>
          <w:szCs w:val="24"/>
        </w:rPr>
      </w:pPr>
      <w:r>
        <w:rPr>
          <w:rFonts w:asciiTheme="minorEastAsia" w:eastAsiaTheme="minorEastAsia" w:hAnsiTheme="minorEastAsia" w:cs="宋体"/>
          <w:kern w:val="0"/>
          <w:szCs w:val="24"/>
        </w:rPr>
        <w:br w:type="page"/>
      </w:r>
    </w:p>
    <w:p w14:paraId="7F5D1ECB" w14:textId="3B41F408" w:rsidR="00C113F4" w:rsidRPr="006F4D70" w:rsidRDefault="00C113F4" w:rsidP="00C113F4">
      <w:pPr>
        <w:widowControl/>
        <w:ind w:firstLine="480"/>
        <w:rPr>
          <w:rFonts w:asciiTheme="minorEastAsia" w:eastAsiaTheme="minorEastAsia" w:hAnsiTheme="minorEastAsia" w:cs="宋体"/>
          <w:szCs w:val="24"/>
        </w:rPr>
      </w:pPr>
      <w:r w:rsidRPr="006F4D70">
        <w:rPr>
          <w:rFonts w:asciiTheme="minorEastAsia" w:eastAsiaTheme="minorEastAsia" w:hAnsiTheme="minorEastAsia" w:cs="宋体" w:hint="eastAsia"/>
          <w:szCs w:val="24"/>
        </w:rPr>
        <w:lastRenderedPageBreak/>
        <w:t>本页无正文，为《天弘</w:t>
      </w:r>
      <w:r>
        <w:rPr>
          <w:rFonts w:asciiTheme="minorEastAsia" w:eastAsiaTheme="minorEastAsia" w:hAnsiTheme="minorEastAsia" w:cs="宋体" w:hint="eastAsia"/>
          <w:szCs w:val="24"/>
        </w:rPr>
        <w:t>乾元</w:t>
      </w:r>
      <w:r w:rsidRPr="006F4D70">
        <w:rPr>
          <w:rFonts w:asciiTheme="minorEastAsia" w:eastAsiaTheme="minorEastAsia" w:hAnsiTheme="minorEastAsia" w:cs="宋体" w:hint="eastAsia"/>
          <w:szCs w:val="24"/>
        </w:rPr>
        <w:t>价值混合型证券投资基金基金合同》签字盖章页。</w:t>
      </w:r>
    </w:p>
    <w:p w14:paraId="32734D4E" w14:textId="77777777" w:rsidR="00C113F4" w:rsidRPr="006F4D70" w:rsidRDefault="00C113F4" w:rsidP="00C113F4">
      <w:pPr>
        <w:autoSpaceDE w:val="0"/>
        <w:autoSpaceDN w:val="0"/>
        <w:adjustRightInd w:val="0"/>
        <w:ind w:firstLine="480"/>
        <w:rPr>
          <w:rFonts w:asciiTheme="minorEastAsia" w:eastAsiaTheme="minorEastAsia" w:hAnsiTheme="minorEastAsia" w:cs="宋体"/>
          <w:szCs w:val="24"/>
        </w:rPr>
      </w:pPr>
    </w:p>
    <w:p w14:paraId="0C69710C"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r w:rsidRPr="006F4D70">
        <w:rPr>
          <w:rFonts w:asciiTheme="minorEastAsia" w:eastAsiaTheme="minorEastAsia" w:hAnsiTheme="minorEastAsia" w:cs="宋体" w:hint="eastAsia"/>
          <w:b/>
          <w:bCs/>
          <w:szCs w:val="24"/>
        </w:rPr>
        <w:t>基金管理人：天弘基金管理有限公司（公章）</w:t>
      </w:r>
    </w:p>
    <w:p w14:paraId="44228651"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7B87AAA9"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1EAB2269"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2653EA4A"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7C4FF20B"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r w:rsidRPr="006F4D70">
        <w:rPr>
          <w:rFonts w:asciiTheme="minorEastAsia" w:eastAsiaTheme="minorEastAsia" w:hAnsiTheme="minorEastAsia" w:cs="宋体" w:hint="eastAsia"/>
          <w:b/>
          <w:bCs/>
          <w:szCs w:val="24"/>
        </w:rPr>
        <w:t>法定代表人或授权代表：</w:t>
      </w:r>
      <w:r w:rsidRPr="006F4D70">
        <w:rPr>
          <w:rFonts w:asciiTheme="minorEastAsia" w:eastAsiaTheme="minorEastAsia" w:hAnsiTheme="minorEastAsia" w:cs="宋体"/>
          <w:b/>
          <w:bCs/>
          <w:szCs w:val="24"/>
        </w:rPr>
        <w:t xml:space="preserve"> </w:t>
      </w:r>
    </w:p>
    <w:p w14:paraId="2205960C"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4B59FC30"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562C8F42"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0680BE4E"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14117C52"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r w:rsidRPr="006F4D70">
        <w:rPr>
          <w:rFonts w:asciiTheme="minorEastAsia" w:eastAsiaTheme="minorEastAsia" w:hAnsiTheme="minorEastAsia" w:cs="宋体" w:hint="eastAsia"/>
          <w:b/>
          <w:bCs/>
          <w:szCs w:val="24"/>
        </w:rPr>
        <w:t>基金托管人：</w:t>
      </w:r>
      <w:r>
        <w:rPr>
          <w:rFonts w:asciiTheme="minorEastAsia" w:eastAsiaTheme="minorEastAsia" w:hAnsiTheme="minorEastAsia" w:cs="宋体" w:hint="eastAsia"/>
          <w:b/>
          <w:bCs/>
          <w:szCs w:val="24"/>
        </w:rPr>
        <w:t>中国建设</w:t>
      </w:r>
      <w:r w:rsidRPr="006F4D70">
        <w:rPr>
          <w:rFonts w:asciiTheme="minorEastAsia" w:eastAsiaTheme="minorEastAsia" w:hAnsiTheme="minorEastAsia" w:cs="宋体" w:hint="eastAsia"/>
          <w:b/>
          <w:bCs/>
          <w:szCs w:val="24"/>
        </w:rPr>
        <w:t>银行股份有限公司（公章）</w:t>
      </w:r>
    </w:p>
    <w:p w14:paraId="7DDB224A"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5ABF5C2E"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7A402EBE"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0B4E2DA8"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513A389B"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r w:rsidRPr="006F4D70">
        <w:rPr>
          <w:rFonts w:asciiTheme="minorEastAsia" w:eastAsiaTheme="minorEastAsia" w:hAnsiTheme="minorEastAsia" w:cs="宋体" w:hint="eastAsia"/>
          <w:b/>
          <w:bCs/>
          <w:szCs w:val="24"/>
        </w:rPr>
        <w:t>法定代表人或授权代表：</w:t>
      </w:r>
      <w:r w:rsidRPr="006F4D70">
        <w:rPr>
          <w:rFonts w:asciiTheme="minorEastAsia" w:eastAsiaTheme="minorEastAsia" w:hAnsiTheme="minorEastAsia" w:cs="宋体"/>
          <w:b/>
          <w:bCs/>
          <w:szCs w:val="24"/>
        </w:rPr>
        <w:t xml:space="preserve"> </w:t>
      </w:r>
    </w:p>
    <w:p w14:paraId="419A8373"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5FB1B741"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3FD028B5"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2FB67767" w14:textId="77777777" w:rsidR="00C113F4" w:rsidRPr="006F4D70" w:rsidRDefault="00C113F4" w:rsidP="00C113F4">
      <w:pPr>
        <w:autoSpaceDE w:val="0"/>
        <w:autoSpaceDN w:val="0"/>
        <w:adjustRightInd w:val="0"/>
        <w:ind w:firstLine="482"/>
        <w:rPr>
          <w:rFonts w:asciiTheme="minorEastAsia" w:eastAsiaTheme="minorEastAsia" w:hAnsiTheme="minorEastAsia" w:cs="宋体"/>
          <w:b/>
          <w:bCs/>
          <w:szCs w:val="24"/>
        </w:rPr>
      </w:pPr>
    </w:p>
    <w:p w14:paraId="060F877C" w14:textId="30E4E6C2" w:rsidR="00C113F4" w:rsidRPr="006F4D70" w:rsidRDefault="00C113F4" w:rsidP="00C113F4">
      <w:pPr>
        <w:tabs>
          <w:tab w:val="left" w:pos="5970"/>
        </w:tabs>
        <w:autoSpaceDE w:val="0"/>
        <w:autoSpaceDN w:val="0"/>
        <w:adjustRightInd w:val="0"/>
        <w:ind w:firstLine="482"/>
        <w:rPr>
          <w:rFonts w:asciiTheme="minorEastAsia" w:eastAsiaTheme="minorEastAsia" w:hAnsiTheme="minorEastAsia" w:cs="宋体"/>
          <w:b/>
          <w:bCs/>
          <w:szCs w:val="24"/>
        </w:rPr>
      </w:pPr>
      <w:r w:rsidRPr="006F4D70">
        <w:rPr>
          <w:rFonts w:asciiTheme="minorEastAsia" w:eastAsiaTheme="minorEastAsia" w:hAnsiTheme="minorEastAsia" w:cs="宋体" w:hint="eastAsia"/>
          <w:b/>
          <w:bCs/>
          <w:szCs w:val="24"/>
        </w:rPr>
        <w:t>签订地点：</w:t>
      </w:r>
      <w:r w:rsidR="005D1B1C">
        <w:rPr>
          <w:rFonts w:asciiTheme="minorEastAsia" w:eastAsiaTheme="minorEastAsia" w:hAnsiTheme="minorEastAsia" w:cs="宋体" w:hint="eastAsia"/>
          <w:b/>
          <w:bCs/>
          <w:szCs w:val="24"/>
        </w:rPr>
        <w:t>北京</w:t>
      </w:r>
    </w:p>
    <w:p w14:paraId="1CCD4417" w14:textId="69E36B5E" w:rsidR="00C113F4" w:rsidRDefault="00C113F4" w:rsidP="00C113F4">
      <w:pPr>
        <w:ind w:firstLine="482"/>
      </w:pPr>
      <w:r w:rsidRPr="006F4D70">
        <w:rPr>
          <w:rFonts w:asciiTheme="minorEastAsia" w:eastAsiaTheme="minorEastAsia" w:hAnsiTheme="minorEastAsia" w:cs="宋体" w:hint="eastAsia"/>
          <w:b/>
          <w:bCs/>
          <w:szCs w:val="24"/>
        </w:rPr>
        <w:t>签订日：二〇二</w:t>
      </w:r>
      <w:r w:rsidR="003F5BCE">
        <w:rPr>
          <w:rFonts w:asciiTheme="minorEastAsia" w:eastAsiaTheme="minorEastAsia" w:hAnsiTheme="minorEastAsia" w:cs="宋体" w:hint="eastAsia"/>
          <w:b/>
          <w:bCs/>
          <w:szCs w:val="24"/>
        </w:rPr>
        <w:t>六</w:t>
      </w:r>
      <w:r w:rsidRPr="006F4D70">
        <w:rPr>
          <w:rFonts w:asciiTheme="minorEastAsia" w:eastAsiaTheme="minorEastAsia" w:hAnsiTheme="minorEastAsia" w:cs="宋体" w:hint="eastAsia"/>
          <w:b/>
          <w:bCs/>
          <w:szCs w:val="24"/>
        </w:rPr>
        <w:t>年</w:t>
      </w:r>
      <w:r w:rsidRPr="006F4D70">
        <w:rPr>
          <w:rFonts w:asciiTheme="minorEastAsia" w:eastAsiaTheme="minorEastAsia" w:hAnsiTheme="minorEastAsia" w:cs="宋体"/>
          <w:b/>
          <w:bCs/>
          <w:szCs w:val="24"/>
        </w:rPr>
        <w:t xml:space="preserve">  </w:t>
      </w:r>
      <w:r w:rsidRPr="006F4D70">
        <w:rPr>
          <w:rFonts w:asciiTheme="minorEastAsia" w:eastAsiaTheme="minorEastAsia" w:hAnsiTheme="minorEastAsia" w:cs="宋体" w:hint="eastAsia"/>
          <w:b/>
          <w:bCs/>
          <w:szCs w:val="24"/>
        </w:rPr>
        <w:t>月  日</w:t>
      </w:r>
    </w:p>
    <w:p w14:paraId="09B9E7FF" w14:textId="77777777" w:rsidR="00C113F4" w:rsidRPr="00A86740" w:rsidRDefault="00C113F4" w:rsidP="00C113F4">
      <w:pPr>
        <w:ind w:firstLine="480"/>
        <w:rPr>
          <w:rFonts w:asciiTheme="minorEastAsia" w:eastAsiaTheme="minorEastAsia" w:hAnsiTheme="minorEastAsia"/>
        </w:rPr>
      </w:pPr>
    </w:p>
    <w:p w14:paraId="478D6B7F" w14:textId="77777777" w:rsidR="00C113F4" w:rsidRPr="00C113F4" w:rsidRDefault="00C113F4" w:rsidP="00C113F4">
      <w:pPr>
        <w:ind w:firstLineChars="83" w:firstLine="199"/>
        <w:rPr>
          <w:rFonts w:asciiTheme="minorEastAsia" w:eastAsiaTheme="minorEastAsia" w:hAnsiTheme="minorEastAsia"/>
        </w:rPr>
      </w:pPr>
    </w:p>
    <w:sectPr w:rsidR="00C113F4" w:rsidRPr="00C113F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F0DA5" w16cex:dateUtc="2026-03-12T05:20:00Z"/>
  <w16cex:commentExtensible w16cex:durableId="1B1FADAA" w16cex:dateUtc="2026-03-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326626" w16cid:durableId="2D679DB0"/>
  <w16cid:commentId w16cid:paraId="3AE7F034" w16cid:durableId="2D679DB1"/>
  <w16cid:commentId w16cid:paraId="34398D42" w16cid:durableId="2D679DB2"/>
  <w16cid:commentId w16cid:paraId="2D8382CE" w16cid:durableId="2D679DB3"/>
  <w16cid:commentId w16cid:paraId="542DC154" w16cid:durableId="2D679DB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8301E" w14:textId="77777777" w:rsidR="000C1A8C" w:rsidRDefault="000C1A8C">
      <w:pPr>
        <w:spacing w:line="240" w:lineRule="auto"/>
        <w:ind w:firstLine="480"/>
      </w:pPr>
      <w:r>
        <w:separator/>
      </w:r>
    </w:p>
  </w:endnote>
  <w:endnote w:type="continuationSeparator" w:id="0">
    <w:p w14:paraId="18730357" w14:textId="77777777" w:rsidR="000C1A8C" w:rsidRDefault="000C1A8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00"/>
    <w:family w:val="auto"/>
    <w:pitch w:val="default"/>
    <w:sig w:usb0="00000000" w:usb1="00000000" w:usb2="00000000" w:usb3="00000000" w:csb0="00040001" w:csb1="00000000"/>
  </w:font>
  <w:font w:name="simsun,bold">
    <w:altName w:val="Verdana"/>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52BC" w14:textId="77777777" w:rsidR="00893148" w:rsidRDefault="00893148">
    <w:pPr>
      <w:pStyle w:val="ae"/>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041107"/>
      <w:docPartObj>
        <w:docPartGallery w:val="Page Numbers (Bottom of Page)"/>
        <w:docPartUnique/>
      </w:docPartObj>
    </w:sdtPr>
    <w:sdtEndPr/>
    <w:sdtContent>
      <w:p w14:paraId="59672362" w14:textId="5880BC6F" w:rsidR="00893148" w:rsidRDefault="00893148">
        <w:pPr>
          <w:pStyle w:val="ae"/>
          <w:ind w:firstLine="360"/>
          <w:jc w:val="center"/>
        </w:pPr>
        <w:r>
          <w:fldChar w:fldCharType="begin"/>
        </w:r>
        <w:r>
          <w:instrText>PAGE   \* MERGEFORMAT</w:instrText>
        </w:r>
        <w:r>
          <w:fldChar w:fldCharType="separate"/>
        </w:r>
        <w:r w:rsidR="005D3213" w:rsidRPr="005D3213">
          <w:rPr>
            <w:noProof/>
            <w:lang w:val="zh-CN"/>
          </w:rPr>
          <w:t>2</w:t>
        </w:r>
        <w:r>
          <w:fldChar w:fldCharType="end"/>
        </w:r>
      </w:p>
    </w:sdtContent>
  </w:sdt>
  <w:p w14:paraId="503054BC" w14:textId="77777777" w:rsidR="00893148" w:rsidRDefault="00893148">
    <w:pPr>
      <w:pStyle w:val="ae"/>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2720" w14:textId="77777777" w:rsidR="00893148" w:rsidRDefault="00893148">
    <w:pPr>
      <w:pStyle w:val="ae"/>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04116" w14:textId="77777777" w:rsidR="000C1A8C" w:rsidRDefault="000C1A8C">
      <w:pPr>
        <w:ind w:firstLine="480"/>
      </w:pPr>
      <w:r>
        <w:separator/>
      </w:r>
    </w:p>
  </w:footnote>
  <w:footnote w:type="continuationSeparator" w:id="0">
    <w:p w14:paraId="623E224D" w14:textId="77777777" w:rsidR="000C1A8C" w:rsidRDefault="000C1A8C">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BD90" w14:textId="77777777" w:rsidR="00893148" w:rsidRDefault="00893148">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BD2D2" w14:textId="51A0532F" w:rsidR="00893148" w:rsidRPr="005B166F" w:rsidRDefault="00893148" w:rsidP="005B166F">
    <w:pPr>
      <w:pBdr>
        <w:bottom w:val="thickThinLargeGap" w:sz="24" w:space="0" w:color="auto"/>
      </w:pBdr>
      <w:tabs>
        <w:tab w:val="center" w:pos="4153"/>
        <w:tab w:val="right" w:pos="8306"/>
      </w:tabs>
      <w:snapToGrid w:val="0"/>
      <w:spacing w:line="240" w:lineRule="auto"/>
      <w:ind w:firstLineChars="0" w:firstLine="0"/>
      <w:jc w:val="right"/>
      <w:rPr>
        <w:rFonts w:ascii="宋体" w:hAnsi="宋体"/>
        <w:sz w:val="21"/>
        <w:szCs w:val="21"/>
      </w:rPr>
    </w:pPr>
    <w:r w:rsidRPr="002B1431">
      <w:rPr>
        <w:rFonts w:ascii="Times New Roman" w:hAnsi="Times New Roman"/>
        <w:noProof/>
        <w:sz w:val="18"/>
        <w:szCs w:val="20"/>
      </w:rPr>
      <w:drawing>
        <wp:anchor distT="0" distB="0" distL="114300" distR="114300" simplePos="0" relativeHeight="251659264" behindDoc="1" locked="0" layoutInCell="1" allowOverlap="1" wp14:anchorId="73F2062D" wp14:editId="26E3F3BF">
          <wp:simplePos x="0" y="0"/>
          <wp:positionH relativeFrom="column">
            <wp:posOffset>-6350</wp:posOffset>
          </wp:positionH>
          <wp:positionV relativeFrom="paragraph">
            <wp:posOffset>-121285</wp:posOffset>
          </wp:positionV>
          <wp:extent cx="2105025" cy="2762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76225"/>
                  </a:xfrm>
                  <a:prstGeom prst="rect">
                    <a:avLst/>
                  </a:prstGeom>
                  <a:noFill/>
                </pic:spPr>
              </pic:pic>
            </a:graphicData>
          </a:graphic>
          <wp14:sizeRelH relativeFrom="page">
            <wp14:pctWidth>0</wp14:pctWidth>
          </wp14:sizeRelH>
          <wp14:sizeRelV relativeFrom="page">
            <wp14:pctHeight>0</wp14:pctHeight>
          </wp14:sizeRelV>
        </wp:anchor>
      </w:drawing>
    </w:r>
    <w:r w:rsidRPr="002B1431">
      <w:rPr>
        <w:rFonts w:ascii="宋体" w:hAnsi="宋体" w:hint="eastAsia"/>
        <w:sz w:val="21"/>
        <w:szCs w:val="21"/>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1FEC" w14:textId="77777777" w:rsidR="00893148" w:rsidRDefault="00893148">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0E28"/>
    <w:multiLevelType w:val="hybridMultilevel"/>
    <w:tmpl w:val="87A68434"/>
    <w:lvl w:ilvl="0" w:tplc="04090019">
      <w:start w:val="1"/>
      <w:numFmt w:val="lowerLetter"/>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FAD6FE3"/>
    <w:multiLevelType w:val="hybridMultilevel"/>
    <w:tmpl w:val="88A6B5A2"/>
    <w:lvl w:ilvl="0" w:tplc="B40EFEAA">
      <w:start w:val="2"/>
      <w:numFmt w:val="decimal"/>
      <w:lvlText w:val="%1、"/>
      <w:lvlJc w:val="left"/>
      <w:pPr>
        <w:ind w:left="777" w:hanging="360"/>
      </w:pPr>
      <w:rPr>
        <w:rFonts w:hint="default"/>
      </w:rPr>
    </w:lvl>
    <w:lvl w:ilvl="1" w:tplc="04090019" w:tentative="1">
      <w:start w:val="1"/>
      <w:numFmt w:val="lowerLetter"/>
      <w:lvlText w:val="%2)"/>
      <w:lvlJc w:val="left"/>
      <w:pPr>
        <w:ind w:left="1257" w:hanging="420"/>
      </w:pPr>
    </w:lvl>
    <w:lvl w:ilvl="2" w:tplc="0409001B" w:tentative="1">
      <w:start w:val="1"/>
      <w:numFmt w:val="lowerRoman"/>
      <w:lvlText w:val="%3."/>
      <w:lvlJc w:val="right"/>
      <w:pPr>
        <w:ind w:left="1677" w:hanging="420"/>
      </w:pPr>
    </w:lvl>
    <w:lvl w:ilvl="3" w:tplc="0409000F" w:tentative="1">
      <w:start w:val="1"/>
      <w:numFmt w:val="decimal"/>
      <w:lvlText w:val="%4."/>
      <w:lvlJc w:val="left"/>
      <w:pPr>
        <w:ind w:left="2097" w:hanging="420"/>
      </w:pPr>
    </w:lvl>
    <w:lvl w:ilvl="4" w:tplc="04090019" w:tentative="1">
      <w:start w:val="1"/>
      <w:numFmt w:val="lowerLetter"/>
      <w:lvlText w:val="%5)"/>
      <w:lvlJc w:val="left"/>
      <w:pPr>
        <w:ind w:left="2517" w:hanging="420"/>
      </w:pPr>
    </w:lvl>
    <w:lvl w:ilvl="5" w:tplc="0409001B" w:tentative="1">
      <w:start w:val="1"/>
      <w:numFmt w:val="lowerRoman"/>
      <w:lvlText w:val="%6."/>
      <w:lvlJc w:val="right"/>
      <w:pPr>
        <w:ind w:left="2937" w:hanging="420"/>
      </w:pPr>
    </w:lvl>
    <w:lvl w:ilvl="6" w:tplc="0409000F" w:tentative="1">
      <w:start w:val="1"/>
      <w:numFmt w:val="decimal"/>
      <w:lvlText w:val="%7."/>
      <w:lvlJc w:val="left"/>
      <w:pPr>
        <w:ind w:left="3357" w:hanging="420"/>
      </w:pPr>
    </w:lvl>
    <w:lvl w:ilvl="7" w:tplc="04090019" w:tentative="1">
      <w:start w:val="1"/>
      <w:numFmt w:val="lowerLetter"/>
      <w:lvlText w:val="%8)"/>
      <w:lvlJc w:val="left"/>
      <w:pPr>
        <w:ind w:left="3777" w:hanging="420"/>
      </w:pPr>
    </w:lvl>
    <w:lvl w:ilvl="8" w:tplc="0409001B" w:tentative="1">
      <w:start w:val="1"/>
      <w:numFmt w:val="lowerRoman"/>
      <w:lvlText w:val="%9."/>
      <w:lvlJc w:val="right"/>
      <w:pPr>
        <w:ind w:left="4197" w:hanging="420"/>
      </w:pPr>
    </w:lvl>
  </w:abstractNum>
  <w:abstractNum w:abstractNumId="2" w15:restartNumberingAfterBreak="0">
    <w:nsid w:val="3B3105E1"/>
    <w:multiLevelType w:val="multilevel"/>
    <w:tmpl w:val="3B3105E1"/>
    <w:lvl w:ilvl="0">
      <w:start w:val="1"/>
      <w:numFmt w:val="decimal"/>
      <w:suff w:val="nothing"/>
      <w:lvlText w:val="%1、"/>
      <w:lvlJc w:val="left"/>
      <w:pPr>
        <w:ind w:left="709" w:hanging="284"/>
      </w:pPr>
      <w:rPr>
        <w:rFonts w:ascii="仿宋" w:eastAsia="仿宋" w:hAnsi="仿宋" w:hint="eastAsia"/>
        <w:b w:val="0"/>
        <w:sz w:val="24"/>
        <w:szCs w:val="24"/>
      </w:rPr>
    </w:lvl>
    <w:lvl w:ilvl="1">
      <w:start w:val="1"/>
      <w:numFmt w:val="lowerLetter"/>
      <w:lvlText w:val="%2)"/>
      <w:lvlJc w:val="left"/>
      <w:pPr>
        <w:ind w:left="-1004" w:hanging="420"/>
      </w:pPr>
    </w:lvl>
    <w:lvl w:ilvl="2">
      <w:start w:val="1"/>
      <w:numFmt w:val="lowerRoman"/>
      <w:lvlText w:val="%3."/>
      <w:lvlJc w:val="right"/>
      <w:pPr>
        <w:ind w:left="-584" w:hanging="420"/>
      </w:pPr>
    </w:lvl>
    <w:lvl w:ilvl="3">
      <w:start w:val="1"/>
      <w:numFmt w:val="decimal"/>
      <w:lvlText w:val="%4."/>
      <w:lvlJc w:val="left"/>
      <w:pPr>
        <w:ind w:left="-164" w:hanging="420"/>
      </w:pPr>
    </w:lvl>
    <w:lvl w:ilvl="4">
      <w:start w:val="1"/>
      <w:numFmt w:val="lowerLetter"/>
      <w:lvlText w:val="%5)"/>
      <w:lvlJc w:val="left"/>
      <w:pPr>
        <w:ind w:left="256" w:hanging="420"/>
      </w:pPr>
    </w:lvl>
    <w:lvl w:ilvl="5">
      <w:start w:val="1"/>
      <w:numFmt w:val="lowerRoman"/>
      <w:lvlText w:val="%6."/>
      <w:lvlJc w:val="right"/>
      <w:pPr>
        <w:ind w:left="676" w:hanging="420"/>
      </w:pPr>
    </w:lvl>
    <w:lvl w:ilvl="6">
      <w:start w:val="1"/>
      <w:numFmt w:val="decimal"/>
      <w:lvlText w:val="%7."/>
      <w:lvlJc w:val="left"/>
      <w:pPr>
        <w:ind w:left="1096" w:hanging="420"/>
      </w:pPr>
    </w:lvl>
    <w:lvl w:ilvl="7">
      <w:start w:val="1"/>
      <w:numFmt w:val="lowerLetter"/>
      <w:lvlText w:val="%8)"/>
      <w:lvlJc w:val="left"/>
      <w:pPr>
        <w:ind w:left="1516" w:hanging="420"/>
      </w:pPr>
    </w:lvl>
    <w:lvl w:ilvl="8">
      <w:start w:val="1"/>
      <w:numFmt w:val="lowerRoman"/>
      <w:lvlText w:val="%9."/>
      <w:lvlJc w:val="right"/>
      <w:pPr>
        <w:ind w:left="1936" w:hanging="420"/>
      </w:pPr>
    </w:lvl>
  </w:abstractNum>
  <w:abstractNum w:abstractNumId="3" w15:restartNumberingAfterBreak="0">
    <w:nsid w:val="460862F6"/>
    <w:multiLevelType w:val="hybridMultilevel"/>
    <w:tmpl w:val="4E463590"/>
    <w:lvl w:ilvl="0" w:tplc="4E9E5990">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A9C6C32"/>
    <w:multiLevelType w:val="hybridMultilevel"/>
    <w:tmpl w:val="8C5AD784"/>
    <w:lvl w:ilvl="0" w:tplc="5B88CC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945DB"/>
    <w:multiLevelType w:val="hybridMultilevel"/>
    <w:tmpl w:val="17BCEABA"/>
    <w:lvl w:ilvl="0" w:tplc="95B49E6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B46C3B"/>
    <w:multiLevelType w:val="multilevel"/>
    <w:tmpl w:val="78B46C3B"/>
    <w:lvl w:ilvl="0">
      <w:start w:val="1"/>
      <w:numFmt w:val="chineseCountingThousand"/>
      <w:suff w:val="nothing"/>
      <w:lvlText w:val="%1、"/>
      <w:lvlJc w:val="left"/>
      <w:pPr>
        <w:ind w:left="256"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3MTUxODZmOGI5MGYxMzI4OTZkNjViOGFkNTljZWUifQ=="/>
  </w:docVars>
  <w:rsids>
    <w:rsidRoot w:val="00BF3808"/>
    <w:rsid w:val="D9CFCA7E"/>
    <w:rsid w:val="00003224"/>
    <w:rsid w:val="00003327"/>
    <w:rsid w:val="00003930"/>
    <w:rsid w:val="00003AE1"/>
    <w:rsid w:val="000046EE"/>
    <w:rsid w:val="00004D5D"/>
    <w:rsid w:val="000050CD"/>
    <w:rsid w:val="00007FAE"/>
    <w:rsid w:val="000100FA"/>
    <w:rsid w:val="00010E18"/>
    <w:rsid w:val="0001149A"/>
    <w:rsid w:val="00011D89"/>
    <w:rsid w:val="0001281F"/>
    <w:rsid w:val="00012AD0"/>
    <w:rsid w:val="000165BC"/>
    <w:rsid w:val="000170D0"/>
    <w:rsid w:val="0002018B"/>
    <w:rsid w:val="00020985"/>
    <w:rsid w:val="0002098D"/>
    <w:rsid w:val="00020A92"/>
    <w:rsid w:val="00022445"/>
    <w:rsid w:val="00023A1D"/>
    <w:rsid w:val="00024AF0"/>
    <w:rsid w:val="00025916"/>
    <w:rsid w:val="00025944"/>
    <w:rsid w:val="00025EEF"/>
    <w:rsid w:val="00026CFD"/>
    <w:rsid w:val="00027453"/>
    <w:rsid w:val="000305F0"/>
    <w:rsid w:val="000306D0"/>
    <w:rsid w:val="00030FE0"/>
    <w:rsid w:val="000318C1"/>
    <w:rsid w:val="00031976"/>
    <w:rsid w:val="000329E5"/>
    <w:rsid w:val="00032B31"/>
    <w:rsid w:val="0003536D"/>
    <w:rsid w:val="00035EA7"/>
    <w:rsid w:val="00036F4C"/>
    <w:rsid w:val="0003717D"/>
    <w:rsid w:val="00040420"/>
    <w:rsid w:val="000412D5"/>
    <w:rsid w:val="0004131C"/>
    <w:rsid w:val="00041AF2"/>
    <w:rsid w:val="00041CBC"/>
    <w:rsid w:val="00042376"/>
    <w:rsid w:val="00043A1B"/>
    <w:rsid w:val="00046F96"/>
    <w:rsid w:val="00047989"/>
    <w:rsid w:val="0005004D"/>
    <w:rsid w:val="00053767"/>
    <w:rsid w:val="00054478"/>
    <w:rsid w:val="00054786"/>
    <w:rsid w:val="000547FD"/>
    <w:rsid w:val="00057201"/>
    <w:rsid w:val="0005790D"/>
    <w:rsid w:val="000609FB"/>
    <w:rsid w:val="0006149A"/>
    <w:rsid w:val="000629E6"/>
    <w:rsid w:val="00062B9F"/>
    <w:rsid w:val="00062E7B"/>
    <w:rsid w:val="00063785"/>
    <w:rsid w:val="00063969"/>
    <w:rsid w:val="00064BD9"/>
    <w:rsid w:val="00064E56"/>
    <w:rsid w:val="000652B4"/>
    <w:rsid w:val="0006610F"/>
    <w:rsid w:val="000662EB"/>
    <w:rsid w:val="000704C9"/>
    <w:rsid w:val="00072F60"/>
    <w:rsid w:val="000738DA"/>
    <w:rsid w:val="00074917"/>
    <w:rsid w:val="0007498B"/>
    <w:rsid w:val="0007594B"/>
    <w:rsid w:val="00075EB4"/>
    <w:rsid w:val="000762BB"/>
    <w:rsid w:val="00076D15"/>
    <w:rsid w:val="000776F9"/>
    <w:rsid w:val="000805B4"/>
    <w:rsid w:val="000834CF"/>
    <w:rsid w:val="00083CD7"/>
    <w:rsid w:val="00084349"/>
    <w:rsid w:val="00085E0F"/>
    <w:rsid w:val="00086933"/>
    <w:rsid w:val="00086C6B"/>
    <w:rsid w:val="00090795"/>
    <w:rsid w:val="00091BF8"/>
    <w:rsid w:val="00092510"/>
    <w:rsid w:val="000939A9"/>
    <w:rsid w:val="00093D94"/>
    <w:rsid w:val="000942C3"/>
    <w:rsid w:val="00095451"/>
    <w:rsid w:val="000970A5"/>
    <w:rsid w:val="000A012D"/>
    <w:rsid w:val="000A023F"/>
    <w:rsid w:val="000A0748"/>
    <w:rsid w:val="000A1B87"/>
    <w:rsid w:val="000A2D4D"/>
    <w:rsid w:val="000A3590"/>
    <w:rsid w:val="000A4161"/>
    <w:rsid w:val="000A49A2"/>
    <w:rsid w:val="000A5BAD"/>
    <w:rsid w:val="000A73FE"/>
    <w:rsid w:val="000B1076"/>
    <w:rsid w:val="000B29E8"/>
    <w:rsid w:val="000B2E4D"/>
    <w:rsid w:val="000B2E5C"/>
    <w:rsid w:val="000B5D6E"/>
    <w:rsid w:val="000B718D"/>
    <w:rsid w:val="000B7601"/>
    <w:rsid w:val="000C1A8C"/>
    <w:rsid w:val="000C208A"/>
    <w:rsid w:val="000C2DAD"/>
    <w:rsid w:val="000C3B68"/>
    <w:rsid w:val="000C4CAA"/>
    <w:rsid w:val="000C51E0"/>
    <w:rsid w:val="000C70A0"/>
    <w:rsid w:val="000C7181"/>
    <w:rsid w:val="000C76CD"/>
    <w:rsid w:val="000D1004"/>
    <w:rsid w:val="000D3471"/>
    <w:rsid w:val="000D3729"/>
    <w:rsid w:val="000D3990"/>
    <w:rsid w:val="000D419F"/>
    <w:rsid w:val="000D5641"/>
    <w:rsid w:val="000D56CE"/>
    <w:rsid w:val="000D5D5A"/>
    <w:rsid w:val="000D6405"/>
    <w:rsid w:val="000D6625"/>
    <w:rsid w:val="000D6A52"/>
    <w:rsid w:val="000D6BC4"/>
    <w:rsid w:val="000D761E"/>
    <w:rsid w:val="000E02AE"/>
    <w:rsid w:val="000E1322"/>
    <w:rsid w:val="000E2BE3"/>
    <w:rsid w:val="000E2EB0"/>
    <w:rsid w:val="000E3155"/>
    <w:rsid w:val="000E3CB8"/>
    <w:rsid w:val="000E42C3"/>
    <w:rsid w:val="000E5085"/>
    <w:rsid w:val="000E581A"/>
    <w:rsid w:val="000E5A61"/>
    <w:rsid w:val="000E602E"/>
    <w:rsid w:val="000E655E"/>
    <w:rsid w:val="000E6F57"/>
    <w:rsid w:val="000F0910"/>
    <w:rsid w:val="000F0F2E"/>
    <w:rsid w:val="000F1217"/>
    <w:rsid w:val="000F121E"/>
    <w:rsid w:val="000F1372"/>
    <w:rsid w:val="000F27FB"/>
    <w:rsid w:val="000F3483"/>
    <w:rsid w:val="000F35E7"/>
    <w:rsid w:val="000F4E35"/>
    <w:rsid w:val="000F5C8E"/>
    <w:rsid w:val="000F5E11"/>
    <w:rsid w:val="00102611"/>
    <w:rsid w:val="00102748"/>
    <w:rsid w:val="00102C59"/>
    <w:rsid w:val="0010401A"/>
    <w:rsid w:val="00107407"/>
    <w:rsid w:val="00110893"/>
    <w:rsid w:val="001115B9"/>
    <w:rsid w:val="0011171D"/>
    <w:rsid w:val="0011263E"/>
    <w:rsid w:val="00112B43"/>
    <w:rsid w:val="00113748"/>
    <w:rsid w:val="001139D3"/>
    <w:rsid w:val="00114015"/>
    <w:rsid w:val="00114422"/>
    <w:rsid w:val="00114F48"/>
    <w:rsid w:val="0011640C"/>
    <w:rsid w:val="001167F7"/>
    <w:rsid w:val="00117DB9"/>
    <w:rsid w:val="00120ED4"/>
    <w:rsid w:val="00121ABA"/>
    <w:rsid w:val="00121F97"/>
    <w:rsid w:val="00122033"/>
    <w:rsid w:val="0012276F"/>
    <w:rsid w:val="00122D8E"/>
    <w:rsid w:val="001246FB"/>
    <w:rsid w:val="00124748"/>
    <w:rsid w:val="00124C1E"/>
    <w:rsid w:val="00124EB0"/>
    <w:rsid w:val="00125FDF"/>
    <w:rsid w:val="00126121"/>
    <w:rsid w:val="00127F53"/>
    <w:rsid w:val="001301B2"/>
    <w:rsid w:val="00130A64"/>
    <w:rsid w:val="001321B3"/>
    <w:rsid w:val="0013229F"/>
    <w:rsid w:val="00132884"/>
    <w:rsid w:val="0013292E"/>
    <w:rsid w:val="00133409"/>
    <w:rsid w:val="00134699"/>
    <w:rsid w:val="0013564C"/>
    <w:rsid w:val="00137B53"/>
    <w:rsid w:val="00137C61"/>
    <w:rsid w:val="001400DB"/>
    <w:rsid w:val="00140574"/>
    <w:rsid w:val="00140A5C"/>
    <w:rsid w:val="00140EFF"/>
    <w:rsid w:val="00141037"/>
    <w:rsid w:val="00141C5C"/>
    <w:rsid w:val="00142572"/>
    <w:rsid w:val="00142854"/>
    <w:rsid w:val="00142FB4"/>
    <w:rsid w:val="0014327C"/>
    <w:rsid w:val="00143605"/>
    <w:rsid w:val="001446C2"/>
    <w:rsid w:val="001446EE"/>
    <w:rsid w:val="00144CB3"/>
    <w:rsid w:val="00145CA9"/>
    <w:rsid w:val="00146C75"/>
    <w:rsid w:val="00147692"/>
    <w:rsid w:val="00147718"/>
    <w:rsid w:val="001501FB"/>
    <w:rsid w:val="00150B5E"/>
    <w:rsid w:val="00150CA2"/>
    <w:rsid w:val="001525CB"/>
    <w:rsid w:val="00152D17"/>
    <w:rsid w:val="001533E7"/>
    <w:rsid w:val="00156079"/>
    <w:rsid w:val="00156630"/>
    <w:rsid w:val="001600A7"/>
    <w:rsid w:val="001608FE"/>
    <w:rsid w:val="0016098A"/>
    <w:rsid w:val="00160DF7"/>
    <w:rsid w:val="00161F74"/>
    <w:rsid w:val="0016392D"/>
    <w:rsid w:val="00165273"/>
    <w:rsid w:val="0016561F"/>
    <w:rsid w:val="001656F4"/>
    <w:rsid w:val="00166214"/>
    <w:rsid w:val="001662E1"/>
    <w:rsid w:val="0016637C"/>
    <w:rsid w:val="00166C22"/>
    <w:rsid w:val="00166EB5"/>
    <w:rsid w:val="001719C0"/>
    <w:rsid w:val="00171E2C"/>
    <w:rsid w:val="00173126"/>
    <w:rsid w:val="00173A5F"/>
    <w:rsid w:val="00173CCF"/>
    <w:rsid w:val="00174AB1"/>
    <w:rsid w:val="00175237"/>
    <w:rsid w:val="00175A98"/>
    <w:rsid w:val="00176B78"/>
    <w:rsid w:val="00177BA3"/>
    <w:rsid w:val="00177FBC"/>
    <w:rsid w:val="001803AB"/>
    <w:rsid w:val="00180E37"/>
    <w:rsid w:val="00181349"/>
    <w:rsid w:val="001836C5"/>
    <w:rsid w:val="00183B26"/>
    <w:rsid w:val="00184E31"/>
    <w:rsid w:val="001861A1"/>
    <w:rsid w:val="00187311"/>
    <w:rsid w:val="00187A6C"/>
    <w:rsid w:val="00190242"/>
    <w:rsid w:val="00190446"/>
    <w:rsid w:val="001906EC"/>
    <w:rsid w:val="00190A56"/>
    <w:rsid w:val="00191223"/>
    <w:rsid w:val="00191C44"/>
    <w:rsid w:val="001933A8"/>
    <w:rsid w:val="00193A88"/>
    <w:rsid w:val="00193C0D"/>
    <w:rsid w:val="00194067"/>
    <w:rsid w:val="00194A5E"/>
    <w:rsid w:val="0019528F"/>
    <w:rsid w:val="001960BC"/>
    <w:rsid w:val="001962BA"/>
    <w:rsid w:val="00196F90"/>
    <w:rsid w:val="00197A66"/>
    <w:rsid w:val="001A4123"/>
    <w:rsid w:val="001A5D8E"/>
    <w:rsid w:val="001A63C4"/>
    <w:rsid w:val="001A64B5"/>
    <w:rsid w:val="001A7359"/>
    <w:rsid w:val="001A7C29"/>
    <w:rsid w:val="001B0ED9"/>
    <w:rsid w:val="001B24F1"/>
    <w:rsid w:val="001B2A1F"/>
    <w:rsid w:val="001B334D"/>
    <w:rsid w:val="001B374A"/>
    <w:rsid w:val="001B3EF4"/>
    <w:rsid w:val="001B3FFC"/>
    <w:rsid w:val="001B6300"/>
    <w:rsid w:val="001B6348"/>
    <w:rsid w:val="001B67FD"/>
    <w:rsid w:val="001B7521"/>
    <w:rsid w:val="001C051C"/>
    <w:rsid w:val="001C1027"/>
    <w:rsid w:val="001C1898"/>
    <w:rsid w:val="001C2223"/>
    <w:rsid w:val="001C3269"/>
    <w:rsid w:val="001C3346"/>
    <w:rsid w:val="001C3888"/>
    <w:rsid w:val="001C3EC7"/>
    <w:rsid w:val="001C414A"/>
    <w:rsid w:val="001C4367"/>
    <w:rsid w:val="001C7065"/>
    <w:rsid w:val="001C771D"/>
    <w:rsid w:val="001D02E2"/>
    <w:rsid w:val="001D02EB"/>
    <w:rsid w:val="001D0DE8"/>
    <w:rsid w:val="001D1101"/>
    <w:rsid w:val="001D1F58"/>
    <w:rsid w:val="001D2A57"/>
    <w:rsid w:val="001D2C0C"/>
    <w:rsid w:val="001D3AA8"/>
    <w:rsid w:val="001D4025"/>
    <w:rsid w:val="001D4183"/>
    <w:rsid w:val="001D4517"/>
    <w:rsid w:val="001D57C7"/>
    <w:rsid w:val="001D58DF"/>
    <w:rsid w:val="001D688F"/>
    <w:rsid w:val="001D6CF2"/>
    <w:rsid w:val="001D768D"/>
    <w:rsid w:val="001D7758"/>
    <w:rsid w:val="001E0FE2"/>
    <w:rsid w:val="001E172C"/>
    <w:rsid w:val="001E20B7"/>
    <w:rsid w:val="001E2864"/>
    <w:rsid w:val="001E29C7"/>
    <w:rsid w:val="001E29D3"/>
    <w:rsid w:val="001E311C"/>
    <w:rsid w:val="001E323F"/>
    <w:rsid w:val="001E3698"/>
    <w:rsid w:val="001E53C2"/>
    <w:rsid w:val="001E5F71"/>
    <w:rsid w:val="001E60ED"/>
    <w:rsid w:val="001E6F9C"/>
    <w:rsid w:val="001E77CE"/>
    <w:rsid w:val="001E7BDE"/>
    <w:rsid w:val="001F0DC4"/>
    <w:rsid w:val="001F1772"/>
    <w:rsid w:val="001F177B"/>
    <w:rsid w:val="001F21EF"/>
    <w:rsid w:val="001F2479"/>
    <w:rsid w:val="001F2D50"/>
    <w:rsid w:val="001F3249"/>
    <w:rsid w:val="001F4017"/>
    <w:rsid w:val="001F4151"/>
    <w:rsid w:val="001F42D8"/>
    <w:rsid w:val="001F4382"/>
    <w:rsid w:val="001F482F"/>
    <w:rsid w:val="001F6834"/>
    <w:rsid w:val="001F69EA"/>
    <w:rsid w:val="001F6C7F"/>
    <w:rsid w:val="001F6D6E"/>
    <w:rsid w:val="001F6DC2"/>
    <w:rsid w:val="001F6FAD"/>
    <w:rsid w:val="00200474"/>
    <w:rsid w:val="0020126D"/>
    <w:rsid w:val="00202601"/>
    <w:rsid w:val="0020261B"/>
    <w:rsid w:val="0020265D"/>
    <w:rsid w:val="00202892"/>
    <w:rsid w:val="00202B33"/>
    <w:rsid w:val="00203773"/>
    <w:rsid w:val="002037A7"/>
    <w:rsid w:val="00204087"/>
    <w:rsid w:val="00205529"/>
    <w:rsid w:val="002076EA"/>
    <w:rsid w:val="00207FB9"/>
    <w:rsid w:val="00210C17"/>
    <w:rsid w:val="0021143D"/>
    <w:rsid w:val="002116B2"/>
    <w:rsid w:val="002117B3"/>
    <w:rsid w:val="00212AD8"/>
    <w:rsid w:val="00212CF6"/>
    <w:rsid w:val="00212CFC"/>
    <w:rsid w:val="00213B48"/>
    <w:rsid w:val="0021448A"/>
    <w:rsid w:val="00214BD2"/>
    <w:rsid w:val="00214C6B"/>
    <w:rsid w:val="002150D5"/>
    <w:rsid w:val="002151F8"/>
    <w:rsid w:val="00215A98"/>
    <w:rsid w:val="00217C8C"/>
    <w:rsid w:val="00220333"/>
    <w:rsid w:val="00221389"/>
    <w:rsid w:val="002228A2"/>
    <w:rsid w:val="00222A25"/>
    <w:rsid w:val="00223379"/>
    <w:rsid w:val="00223A46"/>
    <w:rsid w:val="00224A82"/>
    <w:rsid w:val="00225498"/>
    <w:rsid w:val="00225FDB"/>
    <w:rsid w:val="00226CA6"/>
    <w:rsid w:val="00227A62"/>
    <w:rsid w:val="00231DB5"/>
    <w:rsid w:val="00232748"/>
    <w:rsid w:val="00232B1B"/>
    <w:rsid w:val="002330AB"/>
    <w:rsid w:val="00233D81"/>
    <w:rsid w:val="0023454D"/>
    <w:rsid w:val="00235033"/>
    <w:rsid w:val="002407BD"/>
    <w:rsid w:val="002407DA"/>
    <w:rsid w:val="00240DA1"/>
    <w:rsid w:val="002418F6"/>
    <w:rsid w:val="0024271B"/>
    <w:rsid w:val="002429C8"/>
    <w:rsid w:val="00242AF0"/>
    <w:rsid w:val="00242DA4"/>
    <w:rsid w:val="00245DC4"/>
    <w:rsid w:val="0024686D"/>
    <w:rsid w:val="0024747C"/>
    <w:rsid w:val="002474F9"/>
    <w:rsid w:val="00252225"/>
    <w:rsid w:val="0025255F"/>
    <w:rsid w:val="002533B1"/>
    <w:rsid w:val="00253951"/>
    <w:rsid w:val="00253C7A"/>
    <w:rsid w:val="00254CE1"/>
    <w:rsid w:val="002556C9"/>
    <w:rsid w:val="00255A76"/>
    <w:rsid w:val="00256885"/>
    <w:rsid w:val="00256AE1"/>
    <w:rsid w:val="002576C6"/>
    <w:rsid w:val="0026041A"/>
    <w:rsid w:val="00261251"/>
    <w:rsid w:val="00261334"/>
    <w:rsid w:val="00261375"/>
    <w:rsid w:val="00261DCF"/>
    <w:rsid w:val="00262767"/>
    <w:rsid w:val="00263D2B"/>
    <w:rsid w:val="002641F1"/>
    <w:rsid w:val="00265A62"/>
    <w:rsid w:val="002671A1"/>
    <w:rsid w:val="002677CE"/>
    <w:rsid w:val="00267C01"/>
    <w:rsid w:val="00272131"/>
    <w:rsid w:val="0027410C"/>
    <w:rsid w:val="00274739"/>
    <w:rsid w:val="00275666"/>
    <w:rsid w:val="00275F15"/>
    <w:rsid w:val="00276BD1"/>
    <w:rsid w:val="00277260"/>
    <w:rsid w:val="00280F28"/>
    <w:rsid w:val="00281146"/>
    <w:rsid w:val="0028116C"/>
    <w:rsid w:val="00282157"/>
    <w:rsid w:val="00282685"/>
    <w:rsid w:val="0028313E"/>
    <w:rsid w:val="00283A55"/>
    <w:rsid w:val="00284575"/>
    <w:rsid w:val="00284912"/>
    <w:rsid w:val="00284E0D"/>
    <w:rsid w:val="002850F4"/>
    <w:rsid w:val="002860B4"/>
    <w:rsid w:val="0028632A"/>
    <w:rsid w:val="00286A09"/>
    <w:rsid w:val="00286A41"/>
    <w:rsid w:val="0028746A"/>
    <w:rsid w:val="002876D6"/>
    <w:rsid w:val="00287CAD"/>
    <w:rsid w:val="00290615"/>
    <w:rsid w:val="00291C4D"/>
    <w:rsid w:val="00292623"/>
    <w:rsid w:val="0029268C"/>
    <w:rsid w:val="00292A2D"/>
    <w:rsid w:val="002943FE"/>
    <w:rsid w:val="00294F1F"/>
    <w:rsid w:val="0029577D"/>
    <w:rsid w:val="00295BE6"/>
    <w:rsid w:val="00297373"/>
    <w:rsid w:val="00297646"/>
    <w:rsid w:val="002A0635"/>
    <w:rsid w:val="002A0936"/>
    <w:rsid w:val="002A132D"/>
    <w:rsid w:val="002A32CC"/>
    <w:rsid w:val="002A33B8"/>
    <w:rsid w:val="002A3F47"/>
    <w:rsid w:val="002A755E"/>
    <w:rsid w:val="002A763A"/>
    <w:rsid w:val="002B0B22"/>
    <w:rsid w:val="002B0DAB"/>
    <w:rsid w:val="002B1431"/>
    <w:rsid w:val="002B23A4"/>
    <w:rsid w:val="002B4CE5"/>
    <w:rsid w:val="002B5EC3"/>
    <w:rsid w:val="002B628E"/>
    <w:rsid w:val="002B67AF"/>
    <w:rsid w:val="002B71A3"/>
    <w:rsid w:val="002B7F4D"/>
    <w:rsid w:val="002C0951"/>
    <w:rsid w:val="002C0D51"/>
    <w:rsid w:val="002C0D69"/>
    <w:rsid w:val="002C1D33"/>
    <w:rsid w:val="002C1EEC"/>
    <w:rsid w:val="002C2628"/>
    <w:rsid w:val="002C367D"/>
    <w:rsid w:val="002C443F"/>
    <w:rsid w:val="002C4C9E"/>
    <w:rsid w:val="002C4DC0"/>
    <w:rsid w:val="002C4E2F"/>
    <w:rsid w:val="002C4FC5"/>
    <w:rsid w:val="002C5E19"/>
    <w:rsid w:val="002C671D"/>
    <w:rsid w:val="002C6D1F"/>
    <w:rsid w:val="002C71B9"/>
    <w:rsid w:val="002C750A"/>
    <w:rsid w:val="002C77B5"/>
    <w:rsid w:val="002C7A6C"/>
    <w:rsid w:val="002D0B04"/>
    <w:rsid w:val="002D0CC4"/>
    <w:rsid w:val="002D10E2"/>
    <w:rsid w:val="002D14A3"/>
    <w:rsid w:val="002D24C3"/>
    <w:rsid w:val="002D27E5"/>
    <w:rsid w:val="002D2947"/>
    <w:rsid w:val="002D3716"/>
    <w:rsid w:val="002D4DD7"/>
    <w:rsid w:val="002D553A"/>
    <w:rsid w:val="002D6078"/>
    <w:rsid w:val="002D7EEE"/>
    <w:rsid w:val="002E1F3E"/>
    <w:rsid w:val="002E2DC3"/>
    <w:rsid w:val="002E3A26"/>
    <w:rsid w:val="002E4A27"/>
    <w:rsid w:val="002E596D"/>
    <w:rsid w:val="002E59D9"/>
    <w:rsid w:val="002E7C6E"/>
    <w:rsid w:val="002E7E35"/>
    <w:rsid w:val="002F02E5"/>
    <w:rsid w:val="002F0A71"/>
    <w:rsid w:val="002F1113"/>
    <w:rsid w:val="002F1AE7"/>
    <w:rsid w:val="002F5736"/>
    <w:rsid w:val="002F7EB2"/>
    <w:rsid w:val="002F7F7F"/>
    <w:rsid w:val="00300D68"/>
    <w:rsid w:val="00301A57"/>
    <w:rsid w:val="00301AB1"/>
    <w:rsid w:val="00301C0B"/>
    <w:rsid w:val="0030351B"/>
    <w:rsid w:val="00304226"/>
    <w:rsid w:val="00304D89"/>
    <w:rsid w:val="00304D9B"/>
    <w:rsid w:val="00305BBF"/>
    <w:rsid w:val="003065A2"/>
    <w:rsid w:val="003066E1"/>
    <w:rsid w:val="00306821"/>
    <w:rsid w:val="003102FD"/>
    <w:rsid w:val="003107B8"/>
    <w:rsid w:val="0031103D"/>
    <w:rsid w:val="00311F68"/>
    <w:rsid w:val="00313D12"/>
    <w:rsid w:val="00314942"/>
    <w:rsid w:val="003149C6"/>
    <w:rsid w:val="003153E5"/>
    <w:rsid w:val="003154E2"/>
    <w:rsid w:val="00317798"/>
    <w:rsid w:val="00317A02"/>
    <w:rsid w:val="00320C68"/>
    <w:rsid w:val="003212B9"/>
    <w:rsid w:val="00321FD6"/>
    <w:rsid w:val="00322429"/>
    <w:rsid w:val="00322478"/>
    <w:rsid w:val="00324BB3"/>
    <w:rsid w:val="003262B4"/>
    <w:rsid w:val="00326676"/>
    <w:rsid w:val="00327808"/>
    <w:rsid w:val="00330965"/>
    <w:rsid w:val="003318AE"/>
    <w:rsid w:val="00331AF4"/>
    <w:rsid w:val="00333017"/>
    <w:rsid w:val="00333284"/>
    <w:rsid w:val="003400D4"/>
    <w:rsid w:val="0034067D"/>
    <w:rsid w:val="00341A66"/>
    <w:rsid w:val="0034321C"/>
    <w:rsid w:val="003444BA"/>
    <w:rsid w:val="00344D91"/>
    <w:rsid w:val="00345073"/>
    <w:rsid w:val="0034522B"/>
    <w:rsid w:val="00346235"/>
    <w:rsid w:val="003464B2"/>
    <w:rsid w:val="003504D5"/>
    <w:rsid w:val="00351CE0"/>
    <w:rsid w:val="00353533"/>
    <w:rsid w:val="003536BF"/>
    <w:rsid w:val="00353F56"/>
    <w:rsid w:val="00354C87"/>
    <w:rsid w:val="00355D8E"/>
    <w:rsid w:val="0035617C"/>
    <w:rsid w:val="00362E8A"/>
    <w:rsid w:val="003632EC"/>
    <w:rsid w:val="0036370D"/>
    <w:rsid w:val="00363787"/>
    <w:rsid w:val="00363A85"/>
    <w:rsid w:val="00363D8F"/>
    <w:rsid w:val="00363F4E"/>
    <w:rsid w:val="003642B9"/>
    <w:rsid w:val="00365145"/>
    <w:rsid w:val="00365C3E"/>
    <w:rsid w:val="00366C0C"/>
    <w:rsid w:val="00367920"/>
    <w:rsid w:val="00367C04"/>
    <w:rsid w:val="0037197D"/>
    <w:rsid w:val="0037318F"/>
    <w:rsid w:val="0037328F"/>
    <w:rsid w:val="003736E8"/>
    <w:rsid w:val="0037469D"/>
    <w:rsid w:val="003756D4"/>
    <w:rsid w:val="00375F10"/>
    <w:rsid w:val="003762AA"/>
    <w:rsid w:val="003779AE"/>
    <w:rsid w:val="00380A37"/>
    <w:rsid w:val="00380EE9"/>
    <w:rsid w:val="003810A1"/>
    <w:rsid w:val="00384A1A"/>
    <w:rsid w:val="0038598E"/>
    <w:rsid w:val="003861BC"/>
    <w:rsid w:val="003869BB"/>
    <w:rsid w:val="00390A4C"/>
    <w:rsid w:val="00390D10"/>
    <w:rsid w:val="00390DE4"/>
    <w:rsid w:val="0039135D"/>
    <w:rsid w:val="00392132"/>
    <w:rsid w:val="003937E9"/>
    <w:rsid w:val="00393F71"/>
    <w:rsid w:val="00394465"/>
    <w:rsid w:val="00394FF9"/>
    <w:rsid w:val="0039542C"/>
    <w:rsid w:val="003958D7"/>
    <w:rsid w:val="00395CF7"/>
    <w:rsid w:val="003971A8"/>
    <w:rsid w:val="003A0778"/>
    <w:rsid w:val="003A26C4"/>
    <w:rsid w:val="003A3C01"/>
    <w:rsid w:val="003A3D40"/>
    <w:rsid w:val="003A5479"/>
    <w:rsid w:val="003A5488"/>
    <w:rsid w:val="003A5D52"/>
    <w:rsid w:val="003A7D95"/>
    <w:rsid w:val="003A7E6E"/>
    <w:rsid w:val="003A7E78"/>
    <w:rsid w:val="003B0459"/>
    <w:rsid w:val="003B05DF"/>
    <w:rsid w:val="003B1850"/>
    <w:rsid w:val="003B1A8D"/>
    <w:rsid w:val="003B31F9"/>
    <w:rsid w:val="003B3E89"/>
    <w:rsid w:val="003B4549"/>
    <w:rsid w:val="003B5388"/>
    <w:rsid w:val="003B5515"/>
    <w:rsid w:val="003B5E51"/>
    <w:rsid w:val="003B62AA"/>
    <w:rsid w:val="003B769A"/>
    <w:rsid w:val="003C01D8"/>
    <w:rsid w:val="003C1164"/>
    <w:rsid w:val="003C1C89"/>
    <w:rsid w:val="003C27F3"/>
    <w:rsid w:val="003C3829"/>
    <w:rsid w:val="003C3DFB"/>
    <w:rsid w:val="003C3EE7"/>
    <w:rsid w:val="003C3F7F"/>
    <w:rsid w:val="003C483B"/>
    <w:rsid w:val="003C4965"/>
    <w:rsid w:val="003C66AB"/>
    <w:rsid w:val="003C67A9"/>
    <w:rsid w:val="003C7CA9"/>
    <w:rsid w:val="003D0059"/>
    <w:rsid w:val="003D13C0"/>
    <w:rsid w:val="003D1591"/>
    <w:rsid w:val="003D2219"/>
    <w:rsid w:val="003D259F"/>
    <w:rsid w:val="003D25AF"/>
    <w:rsid w:val="003D2C92"/>
    <w:rsid w:val="003D3E76"/>
    <w:rsid w:val="003D3E95"/>
    <w:rsid w:val="003D4380"/>
    <w:rsid w:val="003D6770"/>
    <w:rsid w:val="003D6ED5"/>
    <w:rsid w:val="003D7EF2"/>
    <w:rsid w:val="003E00D2"/>
    <w:rsid w:val="003E04D9"/>
    <w:rsid w:val="003E0A6B"/>
    <w:rsid w:val="003E12ED"/>
    <w:rsid w:val="003E16D7"/>
    <w:rsid w:val="003E1C7D"/>
    <w:rsid w:val="003E1FF2"/>
    <w:rsid w:val="003E2304"/>
    <w:rsid w:val="003E252F"/>
    <w:rsid w:val="003E30B9"/>
    <w:rsid w:val="003E42EB"/>
    <w:rsid w:val="003E4821"/>
    <w:rsid w:val="003E58D4"/>
    <w:rsid w:val="003E5D98"/>
    <w:rsid w:val="003E6F58"/>
    <w:rsid w:val="003E7B74"/>
    <w:rsid w:val="003E7FA6"/>
    <w:rsid w:val="003F05A8"/>
    <w:rsid w:val="003F11CC"/>
    <w:rsid w:val="003F15A4"/>
    <w:rsid w:val="003F23ED"/>
    <w:rsid w:val="003F242A"/>
    <w:rsid w:val="003F3448"/>
    <w:rsid w:val="003F4585"/>
    <w:rsid w:val="003F4A21"/>
    <w:rsid w:val="003F4A85"/>
    <w:rsid w:val="003F5166"/>
    <w:rsid w:val="003F5BCE"/>
    <w:rsid w:val="003F7CAE"/>
    <w:rsid w:val="00400748"/>
    <w:rsid w:val="00401B6C"/>
    <w:rsid w:val="004027E5"/>
    <w:rsid w:val="004028BE"/>
    <w:rsid w:val="00402EE3"/>
    <w:rsid w:val="00403557"/>
    <w:rsid w:val="00403FEE"/>
    <w:rsid w:val="00404167"/>
    <w:rsid w:val="00404D10"/>
    <w:rsid w:val="004059A1"/>
    <w:rsid w:val="00405DC6"/>
    <w:rsid w:val="0041056B"/>
    <w:rsid w:val="0041350E"/>
    <w:rsid w:val="00414AA5"/>
    <w:rsid w:val="00416F65"/>
    <w:rsid w:val="00420AC5"/>
    <w:rsid w:val="00420BEB"/>
    <w:rsid w:val="004224EF"/>
    <w:rsid w:val="004224FC"/>
    <w:rsid w:val="00422595"/>
    <w:rsid w:val="004239C3"/>
    <w:rsid w:val="00423E01"/>
    <w:rsid w:val="00423F45"/>
    <w:rsid w:val="004247E8"/>
    <w:rsid w:val="004258DC"/>
    <w:rsid w:val="0042623D"/>
    <w:rsid w:val="00426AF5"/>
    <w:rsid w:val="00427BF9"/>
    <w:rsid w:val="00430D3D"/>
    <w:rsid w:val="004315B2"/>
    <w:rsid w:val="0043187E"/>
    <w:rsid w:val="00431C05"/>
    <w:rsid w:val="00432211"/>
    <w:rsid w:val="0043313A"/>
    <w:rsid w:val="00433E96"/>
    <w:rsid w:val="00434212"/>
    <w:rsid w:val="0043505D"/>
    <w:rsid w:val="00435136"/>
    <w:rsid w:val="004365B7"/>
    <w:rsid w:val="00436BB9"/>
    <w:rsid w:val="004379A5"/>
    <w:rsid w:val="00440B43"/>
    <w:rsid w:val="00440BF4"/>
    <w:rsid w:val="00440CBD"/>
    <w:rsid w:val="00441049"/>
    <w:rsid w:val="004413AE"/>
    <w:rsid w:val="00441443"/>
    <w:rsid w:val="00442668"/>
    <w:rsid w:val="00442B0D"/>
    <w:rsid w:val="0044310A"/>
    <w:rsid w:val="004435AC"/>
    <w:rsid w:val="00443A4B"/>
    <w:rsid w:val="00443AE0"/>
    <w:rsid w:val="004447EE"/>
    <w:rsid w:val="004454A2"/>
    <w:rsid w:val="004455E4"/>
    <w:rsid w:val="00447CFF"/>
    <w:rsid w:val="00447F09"/>
    <w:rsid w:val="00450647"/>
    <w:rsid w:val="00451EA0"/>
    <w:rsid w:val="0045206D"/>
    <w:rsid w:val="0045276B"/>
    <w:rsid w:val="00452FD4"/>
    <w:rsid w:val="004537FA"/>
    <w:rsid w:val="00455AC4"/>
    <w:rsid w:val="00457840"/>
    <w:rsid w:val="00460210"/>
    <w:rsid w:val="004605A2"/>
    <w:rsid w:val="0046130F"/>
    <w:rsid w:val="00462443"/>
    <w:rsid w:val="00462657"/>
    <w:rsid w:val="00462658"/>
    <w:rsid w:val="00465FB5"/>
    <w:rsid w:val="00466F05"/>
    <w:rsid w:val="00467C53"/>
    <w:rsid w:val="00467F45"/>
    <w:rsid w:val="00470AE6"/>
    <w:rsid w:val="00470E7C"/>
    <w:rsid w:val="00471373"/>
    <w:rsid w:val="004718D9"/>
    <w:rsid w:val="00471F52"/>
    <w:rsid w:val="0047211C"/>
    <w:rsid w:val="00474022"/>
    <w:rsid w:val="00474FFF"/>
    <w:rsid w:val="00475152"/>
    <w:rsid w:val="00475182"/>
    <w:rsid w:val="004754F2"/>
    <w:rsid w:val="004755CF"/>
    <w:rsid w:val="004757E3"/>
    <w:rsid w:val="00476699"/>
    <w:rsid w:val="0048081E"/>
    <w:rsid w:val="00481934"/>
    <w:rsid w:val="00482378"/>
    <w:rsid w:val="00482B54"/>
    <w:rsid w:val="00485351"/>
    <w:rsid w:val="00485A07"/>
    <w:rsid w:val="00486C0D"/>
    <w:rsid w:val="00486DD7"/>
    <w:rsid w:val="00487D8A"/>
    <w:rsid w:val="00492FAC"/>
    <w:rsid w:val="0049346F"/>
    <w:rsid w:val="00494FAA"/>
    <w:rsid w:val="00497B2F"/>
    <w:rsid w:val="004A1090"/>
    <w:rsid w:val="004A1419"/>
    <w:rsid w:val="004A17DE"/>
    <w:rsid w:val="004A18B3"/>
    <w:rsid w:val="004A2076"/>
    <w:rsid w:val="004A2BFC"/>
    <w:rsid w:val="004A42D8"/>
    <w:rsid w:val="004A4303"/>
    <w:rsid w:val="004A4C4A"/>
    <w:rsid w:val="004A4F7E"/>
    <w:rsid w:val="004A5E4B"/>
    <w:rsid w:val="004A791D"/>
    <w:rsid w:val="004A7D02"/>
    <w:rsid w:val="004B0AC8"/>
    <w:rsid w:val="004B0C35"/>
    <w:rsid w:val="004B2427"/>
    <w:rsid w:val="004B3D27"/>
    <w:rsid w:val="004B47B9"/>
    <w:rsid w:val="004B4C56"/>
    <w:rsid w:val="004B5BCF"/>
    <w:rsid w:val="004B5C60"/>
    <w:rsid w:val="004B6615"/>
    <w:rsid w:val="004B70CE"/>
    <w:rsid w:val="004B7654"/>
    <w:rsid w:val="004B7BC1"/>
    <w:rsid w:val="004C00AA"/>
    <w:rsid w:val="004C0C21"/>
    <w:rsid w:val="004C2231"/>
    <w:rsid w:val="004C2504"/>
    <w:rsid w:val="004C267C"/>
    <w:rsid w:val="004C3180"/>
    <w:rsid w:val="004C5EEF"/>
    <w:rsid w:val="004C67C3"/>
    <w:rsid w:val="004C7190"/>
    <w:rsid w:val="004D1D46"/>
    <w:rsid w:val="004D2A6F"/>
    <w:rsid w:val="004D33FB"/>
    <w:rsid w:val="004D4797"/>
    <w:rsid w:val="004D5F65"/>
    <w:rsid w:val="004D682E"/>
    <w:rsid w:val="004D68F7"/>
    <w:rsid w:val="004D6C62"/>
    <w:rsid w:val="004D710D"/>
    <w:rsid w:val="004D72E3"/>
    <w:rsid w:val="004E0318"/>
    <w:rsid w:val="004E0413"/>
    <w:rsid w:val="004E1972"/>
    <w:rsid w:val="004E213A"/>
    <w:rsid w:val="004E2E99"/>
    <w:rsid w:val="004E381A"/>
    <w:rsid w:val="004E3A63"/>
    <w:rsid w:val="004E42E0"/>
    <w:rsid w:val="004E48A8"/>
    <w:rsid w:val="004E48BC"/>
    <w:rsid w:val="004E5539"/>
    <w:rsid w:val="004E57DB"/>
    <w:rsid w:val="004E58C4"/>
    <w:rsid w:val="004E5CCD"/>
    <w:rsid w:val="004E65D3"/>
    <w:rsid w:val="004E6E67"/>
    <w:rsid w:val="004E6E71"/>
    <w:rsid w:val="004E6EF9"/>
    <w:rsid w:val="004E7178"/>
    <w:rsid w:val="004F0F09"/>
    <w:rsid w:val="004F1452"/>
    <w:rsid w:val="004F1F3E"/>
    <w:rsid w:val="004F2279"/>
    <w:rsid w:val="004F2E24"/>
    <w:rsid w:val="004F30ED"/>
    <w:rsid w:val="004F324F"/>
    <w:rsid w:val="004F3838"/>
    <w:rsid w:val="004F4203"/>
    <w:rsid w:val="004F5372"/>
    <w:rsid w:val="004F5390"/>
    <w:rsid w:val="004F6055"/>
    <w:rsid w:val="004F63EF"/>
    <w:rsid w:val="004F69C3"/>
    <w:rsid w:val="004F7065"/>
    <w:rsid w:val="004F707B"/>
    <w:rsid w:val="004F7CEE"/>
    <w:rsid w:val="00500D35"/>
    <w:rsid w:val="00502233"/>
    <w:rsid w:val="005023F5"/>
    <w:rsid w:val="00502B8E"/>
    <w:rsid w:val="00503415"/>
    <w:rsid w:val="00503AEF"/>
    <w:rsid w:val="0050514C"/>
    <w:rsid w:val="005052A4"/>
    <w:rsid w:val="00505B9E"/>
    <w:rsid w:val="005066FF"/>
    <w:rsid w:val="00507E6B"/>
    <w:rsid w:val="00511C6C"/>
    <w:rsid w:val="0051215C"/>
    <w:rsid w:val="00512304"/>
    <w:rsid w:val="00512650"/>
    <w:rsid w:val="00512740"/>
    <w:rsid w:val="005129F2"/>
    <w:rsid w:val="00512D15"/>
    <w:rsid w:val="00513D4D"/>
    <w:rsid w:val="00514B05"/>
    <w:rsid w:val="00516696"/>
    <w:rsid w:val="005171A0"/>
    <w:rsid w:val="00517D0A"/>
    <w:rsid w:val="00521E31"/>
    <w:rsid w:val="0052298B"/>
    <w:rsid w:val="00522B65"/>
    <w:rsid w:val="00522F14"/>
    <w:rsid w:val="005235FD"/>
    <w:rsid w:val="0052538D"/>
    <w:rsid w:val="00526BAD"/>
    <w:rsid w:val="00526C53"/>
    <w:rsid w:val="00526C60"/>
    <w:rsid w:val="0053051D"/>
    <w:rsid w:val="00530ACE"/>
    <w:rsid w:val="00530B1E"/>
    <w:rsid w:val="00531C5B"/>
    <w:rsid w:val="00531C65"/>
    <w:rsid w:val="005327AA"/>
    <w:rsid w:val="00533361"/>
    <w:rsid w:val="00534656"/>
    <w:rsid w:val="00534995"/>
    <w:rsid w:val="00535024"/>
    <w:rsid w:val="00535250"/>
    <w:rsid w:val="005352A2"/>
    <w:rsid w:val="00536192"/>
    <w:rsid w:val="00536CE2"/>
    <w:rsid w:val="00536D36"/>
    <w:rsid w:val="005405FF"/>
    <w:rsid w:val="005449CB"/>
    <w:rsid w:val="00544D53"/>
    <w:rsid w:val="005462A6"/>
    <w:rsid w:val="00546516"/>
    <w:rsid w:val="0054662D"/>
    <w:rsid w:val="0055044E"/>
    <w:rsid w:val="00550C30"/>
    <w:rsid w:val="005512B6"/>
    <w:rsid w:val="005518F6"/>
    <w:rsid w:val="00553056"/>
    <w:rsid w:val="005530A2"/>
    <w:rsid w:val="00554232"/>
    <w:rsid w:val="0055637B"/>
    <w:rsid w:val="005566F2"/>
    <w:rsid w:val="0056119D"/>
    <w:rsid w:val="005611CA"/>
    <w:rsid w:val="0056149F"/>
    <w:rsid w:val="00561AB8"/>
    <w:rsid w:val="00561CBB"/>
    <w:rsid w:val="005629AA"/>
    <w:rsid w:val="00563E6B"/>
    <w:rsid w:val="0056437B"/>
    <w:rsid w:val="00565412"/>
    <w:rsid w:val="00566F49"/>
    <w:rsid w:val="00567BF0"/>
    <w:rsid w:val="00570182"/>
    <w:rsid w:val="0057021A"/>
    <w:rsid w:val="005706D9"/>
    <w:rsid w:val="00570BD2"/>
    <w:rsid w:val="00571C82"/>
    <w:rsid w:val="00572879"/>
    <w:rsid w:val="00572F07"/>
    <w:rsid w:val="00573633"/>
    <w:rsid w:val="00573B7B"/>
    <w:rsid w:val="005750E8"/>
    <w:rsid w:val="00575107"/>
    <w:rsid w:val="005752C6"/>
    <w:rsid w:val="00576B50"/>
    <w:rsid w:val="00580D5E"/>
    <w:rsid w:val="005824BE"/>
    <w:rsid w:val="00582818"/>
    <w:rsid w:val="0058299E"/>
    <w:rsid w:val="00583765"/>
    <w:rsid w:val="005840B5"/>
    <w:rsid w:val="0058489D"/>
    <w:rsid w:val="00585A01"/>
    <w:rsid w:val="00586EA0"/>
    <w:rsid w:val="00587AA3"/>
    <w:rsid w:val="00587FF1"/>
    <w:rsid w:val="00590280"/>
    <w:rsid w:val="00590B04"/>
    <w:rsid w:val="00590EF4"/>
    <w:rsid w:val="00590F14"/>
    <w:rsid w:val="005913B8"/>
    <w:rsid w:val="00591940"/>
    <w:rsid w:val="00593202"/>
    <w:rsid w:val="00593800"/>
    <w:rsid w:val="00593F6C"/>
    <w:rsid w:val="00594690"/>
    <w:rsid w:val="00595296"/>
    <w:rsid w:val="005954F9"/>
    <w:rsid w:val="0059565B"/>
    <w:rsid w:val="00595A1F"/>
    <w:rsid w:val="00595A6D"/>
    <w:rsid w:val="005A0192"/>
    <w:rsid w:val="005A1C4F"/>
    <w:rsid w:val="005A341A"/>
    <w:rsid w:val="005A52BC"/>
    <w:rsid w:val="005A53FB"/>
    <w:rsid w:val="005A5AE1"/>
    <w:rsid w:val="005A5F24"/>
    <w:rsid w:val="005A6160"/>
    <w:rsid w:val="005A6463"/>
    <w:rsid w:val="005A6BC2"/>
    <w:rsid w:val="005A79DE"/>
    <w:rsid w:val="005B022A"/>
    <w:rsid w:val="005B1593"/>
    <w:rsid w:val="005B166F"/>
    <w:rsid w:val="005B2A8A"/>
    <w:rsid w:val="005B34EC"/>
    <w:rsid w:val="005B39AC"/>
    <w:rsid w:val="005B3A32"/>
    <w:rsid w:val="005B4239"/>
    <w:rsid w:val="005B4829"/>
    <w:rsid w:val="005B4D86"/>
    <w:rsid w:val="005B54F0"/>
    <w:rsid w:val="005B5929"/>
    <w:rsid w:val="005B5F82"/>
    <w:rsid w:val="005B6198"/>
    <w:rsid w:val="005B61FC"/>
    <w:rsid w:val="005B6A60"/>
    <w:rsid w:val="005B76D8"/>
    <w:rsid w:val="005B7C2F"/>
    <w:rsid w:val="005C0D17"/>
    <w:rsid w:val="005C1741"/>
    <w:rsid w:val="005C1EE9"/>
    <w:rsid w:val="005C375D"/>
    <w:rsid w:val="005C39C7"/>
    <w:rsid w:val="005C3B0E"/>
    <w:rsid w:val="005C4D39"/>
    <w:rsid w:val="005C5B37"/>
    <w:rsid w:val="005C5F4A"/>
    <w:rsid w:val="005C615E"/>
    <w:rsid w:val="005C6CFD"/>
    <w:rsid w:val="005C7026"/>
    <w:rsid w:val="005D143E"/>
    <w:rsid w:val="005D1A5B"/>
    <w:rsid w:val="005D1AB2"/>
    <w:rsid w:val="005D1B1C"/>
    <w:rsid w:val="005D2FB8"/>
    <w:rsid w:val="005D3213"/>
    <w:rsid w:val="005D392F"/>
    <w:rsid w:val="005D4346"/>
    <w:rsid w:val="005D462C"/>
    <w:rsid w:val="005D468D"/>
    <w:rsid w:val="005D4D4A"/>
    <w:rsid w:val="005D5369"/>
    <w:rsid w:val="005D548D"/>
    <w:rsid w:val="005D5BCC"/>
    <w:rsid w:val="005D5CC6"/>
    <w:rsid w:val="005D6303"/>
    <w:rsid w:val="005D661E"/>
    <w:rsid w:val="005D7C33"/>
    <w:rsid w:val="005E0108"/>
    <w:rsid w:val="005E08F4"/>
    <w:rsid w:val="005E0C96"/>
    <w:rsid w:val="005E0E36"/>
    <w:rsid w:val="005E215C"/>
    <w:rsid w:val="005E22AE"/>
    <w:rsid w:val="005E66BD"/>
    <w:rsid w:val="005F03AB"/>
    <w:rsid w:val="005F1668"/>
    <w:rsid w:val="005F22DF"/>
    <w:rsid w:val="005F35B1"/>
    <w:rsid w:val="005F50C8"/>
    <w:rsid w:val="005F5B54"/>
    <w:rsid w:val="005F5F3A"/>
    <w:rsid w:val="005F73E1"/>
    <w:rsid w:val="005F76FB"/>
    <w:rsid w:val="005F77BB"/>
    <w:rsid w:val="00600335"/>
    <w:rsid w:val="0060047F"/>
    <w:rsid w:val="006011DA"/>
    <w:rsid w:val="00601558"/>
    <w:rsid w:val="006028B7"/>
    <w:rsid w:val="00602EC1"/>
    <w:rsid w:val="006041FE"/>
    <w:rsid w:val="00604552"/>
    <w:rsid w:val="0060467A"/>
    <w:rsid w:val="00605277"/>
    <w:rsid w:val="0060611F"/>
    <w:rsid w:val="006069C0"/>
    <w:rsid w:val="0060724D"/>
    <w:rsid w:val="00607908"/>
    <w:rsid w:val="00607AFD"/>
    <w:rsid w:val="0061247A"/>
    <w:rsid w:val="00613158"/>
    <w:rsid w:val="006131CC"/>
    <w:rsid w:val="00613354"/>
    <w:rsid w:val="0061572C"/>
    <w:rsid w:val="00617682"/>
    <w:rsid w:val="00617AA5"/>
    <w:rsid w:val="00620C5A"/>
    <w:rsid w:val="00621214"/>
    <w:rsid w:val="00621E50"/>
    <w:rsid w:val="006235A2"/>
    <w:rsid w:val="0062554D"/>
    <w:rsid w:val="00625872"/>
    <w:rsid w:val="00625DDF"/>
    <w:rsid w:val="00627850"/>
    <w:rsid w:val="0063046B"/>
    <w:rsid w:val="00631A89"/>
    <w:rsid w:val="00632400"/>
    <w:rsid w:val="00633051"/>
    <w:rsid w:val="0063328C"/>
    <w:rsid w:val="0063334F"/>
    <w:rsid w:val="00633ABD"/>
    <w:rsid w:val="00633DE4"/>
    <w:rsid w:val="00640524"/>
    <w:rsid w:val="0064140E"/>
    <w:rsid w:val="00642CF8"/>
    <w:rsid w:val="0064302C"/>
    <w:rsid w:val="0064313C"/>
    <w:rsid w:val="006431A6"/>
    <w:rsid w:val="0064421B"/>
    <w:rsid w:val="00645800"/>
    <w:rsid w:val="0064742A"/>
    <w:rsid w:val="006523C3"/>
    <w:rsid w:val="006526AD"/>
    <w:rsid w:val="00653437"/>
    <w:rsid w:val="00654686"/>
    <w:rsid w:val="00655AAC"/>
    <w:rsid w:val="00656E50"/>
    <w:rsid w:val="00657B48"/>
    <w:rsid w:val="00657C3E"/>
    <w:rsid w:val="00657DF4"/>
    <w:rsid w:val="00662286"/>
    <w:rsid w:val="00663A3D"/>
    <w:rsid w:val="00664525"/>
    <w:rsid w:val="00665AD7"/>
    <w:rsid w:val="00665B6F"/>
    <w:rsid w:val="00666413"/>
    <w:rsid w:val="006679C0"/>
    <w:rsid w:val="00667FBB"/>
    <w:rsid w:val="00671A4E"/>
    <w:rsid w:val="00672EB5"/>
    <w:rsid w:val="00673083"/>
    <w:rsid w:val="00673CE0"/>
    <w:rsid w:val="0067564B"/>
    <w:rsid w:val="00675731"/>
    <w:rsid w:val="00675B6F"/>
    <w:rsid w:val="0067664A"/>
    <w:rsid w:val="00677D0E"/>
    <w:rsid w:val="00680437"/>
    <w:rsid w:val="00680BE5"/>
    <w:rsid w:val="00680C58"/>
    <w:rsid w:val="00682263"/>
    <w:rsid w:val="00682CA9"/>
    <w:rsid w:val="00683B43"/>
    <w:rsid w:val="00683DA0"/>
    <w:rsid w:val="00683F4E"/>
    <w:rsid w:val="006844E1"/>
    <w:rsid w:val="00685376"/>
    <w:rsid w:val="00690043"/>
    <w:rsid w:val="006906BB"/>
    <w:rsid w:val="006910BD"/>
    <w:rsid w:val="00691683"/>
    <w:rsid w:val="00691B92"/>
    <w:rsid w:val="0069290C"/>
    <w:rsid w:val="006940B2"/>
    <w:rsid w:val="006943B5"/>
    <w:rsid w:val="0069556B"/>
    <w:rsid w:val="0069634F"/>
    <w:rsid w:val="0069665B"/>
    <w:rsid w:val="00696C7A"/>
    <w:rsid w:val="006A0889"/>
    <w:rsid w:val="006A22F8"/>
    <w:rsid w:val="006A235B"/>
    <w:rsid w:val="006A28E9"/>
    <w:rsid w:val="006A2C7A"/>
    <w:rsid w:val="006A387D"/>
    <w:rsid w:val="006A4D95"/>
    <w:rsid w:val="006A507E"/>
    <w:rsid w:val="006A5510"/>
    <w:rsid w:val="006A6084"/>
    <w:rsid w:val="006A6323"/>
    <w:rsid w:val="006A6677"/>
    <w:rsid w:val="006A6DC8"/>
    <w:rsid w:val="006B16B4"/>
    <w:rsid w:val="006B170A"/>
    <w:rsid w:val="006B336E"/>
    <w:rsid w:val="006B4498"/>
    <w:rsid w:val="006B494E"/>
    <w:rsid w:val="006B4CE1"/>
    <w:rsid w:val="006B500E"/>
    <w:rsid w:val="006B5699"/>
    <w:rsid w:val="006B5802"/>
    <w:rsid w:val="006B5F67"/>
    <w:rsid w:val="006B6784"/>
    <w:rsid w:val="006C0D96"/>
    <w:rsid w:val="006C1A6D"/>
    <w:rsid w:val="006C1E85"/>
    <w:rsid w:val="006C2725"/>
    <w:rsid w:val="006C2D66"/>
    <w:rsid w:val="006C3459"/>
    <w:rsid w:val="006C450D"/>
    <w:rsid w:val="006C4D86"/>
    <w:rsid w:val="006C6B32"/>
    <w:rsid w:val="006C7313"/>
    <w:rsid w:val="006C7B55"/>
    <w:rsid w:val="006D32CB"/>
    <w:rsid w:val="006D450F"/>
    <w:rsid w:val="006D524A"/>
    <w:rsid w:val="006D5D4E"/>
    <w:rsid w:val="006D5FE2"/>
    <w:rsid w:val="006D61CD"/>
    <w:rsid w:val="006D68E3"/>
    <w:rsid w:val="006D7291"/>
    <w:rsid w:val="006E1B2D"/>
    <w:rsid w:val="006E1C54"/>
    <w:rsid w:val="006E27DA"/>
    <w:rsid w:val="006E4E23"/>
    <w:rsid w:val="006E63F1"/>
    <w:rsid w:val="006E7333"/>
    <w:rsid w:val="006E760A"/>
    <w:rsid w:val="006E7CCA"/>
    <w:rsid w:val="006F18CA"/>
    <w:rsid w:val="006F421A"/>
    <w:rsid w:val="006F4A56"/>
    <w:rsid w:val="006F4D70"/>
    <w:rsid w:val="006F4ED7"/>
    <w:rsid w:val="006F51C7"/>
    <w:rsid w:val="006F6BEE"/>
    <w:rsid w:val="006F7852"/>
    <w:rsid w:val="007006E2"/>
    <w:rsid w:val="0070142A"/>
    <w:rsid w:val="00701A75"/>
    <w:rsid w:val="0070246B"/>
    <w:rsid w:val="00702F43"/>
    <w:rsid w:val="00703B6C"/>
    <w:rsid w:val="00703F72"/>
    <w:rsid w:val="007046B0"/>
    <w:rsid w:val="00704AA1"/>
    <w:rsid w:val="00704AC3"/>
    <w:rsid w:val="00705D07"/>
    <w:rsid w:val="00705FA0"/>
    <w:rsid w:val="0070627D"/>
    <w:rsid w:val="007063A7"/>
    <w:rsid w:val="0070671D"/>
    <w:rsid w:val="00707B2E"/>
    <w:rsid w:val="00711CE1"/>
    <w:rsid w:val="00712A79"/>
    <w:rsid w:val="00714756"/>
    <w:rsid w:val="007156F8"/>
    <w:rsid w:val="0071647F"/>
    <w:rsid w:val="007169F8"/>
    <w:rsid w:val="00716CBE"/>
    <w:rsid w:val="0071718D"/>
    <w:rsid w:val="00717729"/>
    <w:rsid w:val="007207B0"/>
    <w:rsid w:val="00720FB3"/>
    <w:rsid w:val="00721CA6"/>
    <w:rsid w:val="00724016"/>
    <w:rsid w:val="00724F8F"/>
    <w:rsid w:val="0072574E"/>
    <w:rsid w:val="00725B70"/>
    <w:rsid w:val="007260D0"/>
    <w:rsid w:val="0072665F"/>
    <w:rsid w:val="007304DA"/>
    <w:rsid w:val="007323D2"/>
    <w:rsid w:val="0073278A"/>
    <w:rsid w:val="00733685"/>
    <w:rsid w:val="00733B40"/>
    <w:rsid w:val="00734889"/>
    <w:rsid w:val="007354C6"/>
    <w:rsid w:val="007358A9"/>
    <w:rsid w:val="007378B5"/>
    <w:rsid w:val="007401C8"/>
    <w:rsid w:val="00741A27"/>
    <w:rsid w:val="0074374E"/>
    <w:rsid w:val="007443C7"/>
    <w:rsid w:val="00744722"/>
    <w:rsid w:val="00744EA8"/>
    <w:rsid w:val="007456AB"/>
    <w:rsid w:val="007466E7"/>
    <w:rsid w:val="00746ED5"/>
    <w:rsid w:val="007509E0"/>
    <w:rsid w:val="007514C6"/>
    <w:rsid w:val="0075236E"/>
    <w:rsid w:val="007526F2"/>
    <w:rsid w:val="0075368F"/>
    <w:rsid w:val="00755F7D"/>
    <w:rsid w:val="0075630C"/>
    <w:rsid w:val="0075638C"/>
    <w:rsid w:val="007622BB"/>
    <w:rsid w:val="0076309E"/>
    <w:rsid w:val="0076459C"/>
    <w:rsid w:val="0076474E"/>
    <w:rsid w:val="00764791"/>
    <w:rsid w:val="00771193"/>
    <w:rsid w:val="007711E0"/>
    <w:rsid w:val="00771369"/>
    <w:rsid w:val="00771762"/>
    <w:rsid w:val="00772F08"/>
    <w:rsid w:val="0077387D"/>
    <w:rsid w:val="0077466D"/>
    <w:rsid w:val="00774DC4"/>
    <w:rsid w:val="007753B2"/>
    <w:rsid w:val="00776E18"/>
    <w:rsid w:val="00777CBD"/>
    <w:rsid w:val="00777D09"/>
    <w:rsid w:val="00781A43"/>
    <w:rsid w:val="00782779"/>
    <w:rsid w:val="00783895"/>
    <w:rsid w:val="00784C3F"/>
    <w:rsid w:val="0078526F"/>
    <w:rsid w:val="007852F2"/>
    <w:rsid w:val="00785E2F"/>
    <w:rsid w:val="00785FBC"/>
    <w:rsid w:val="0078636B"/>
    <w:rsid w:val="00786C60"/>
    <w:rsid w:val="00786CE2"/>
    <w:rsid w:val="00786F21"/>
    <w:rsid w:val="00787EC6"/>
    <w:rsid w:val="00787EC9"/>
    <w:rsid w:val="007907D9"/>
    <w:rsid w:val="00791171"/>
    <w:rsid w:val="00791E98"/>
    <w:rsid w:val="0079306E"/>
    <w:rsid w:val="0079324C"/>
    <w:rsid w:val="00793DC7"/>
    <w:rsid w:val="00794621"/>
    <w:rsid w:val="007969DE"/>
    <w:rsid w:val="00796E61"/>
    <w:rsid w:val="00797B00"/>
    <w:rsid w:val="007A45BA"/>
    <w:rsid w:val="007A4A51"/>
    <w:rsid w:val="007A59F5"/>
    <w:rsid w:val="007A6E63"/>
    <w:rsid w:val="007A6EA2"/>
    <w:rsid w:val="007A7092"/>
    <w:rsid w:val="007B0031"/>
    <w:rsid w:val="007B01C9"/>
    <w:rsid w:val="007B1AE1"/>
    <w:rsid w:val="007B217B"/>
    <w:rsid w:val="007B28B8"/>
    <w:rsid w:val="007B5DE8"/>
    <w:rsid w:val="007B667A"/>
    <w:rsid w:val="007B69C2"/>
    <w:rsid w:val="007B6D80"/>
    <w:rsid w:val="007B70C3"/>
    <w:rsid w:val="007B7549"/>
    <w:rsid w:val="007B783B"/>
    <w:rsid w:val="007B7CCC"/>
    <w:rsid w:val="007B7FBB"/>
    <w:rsid w:val="007C0F19"/>
    <w:rsid w:val="007C10C6"/>
    <w:rsid w:val="007C1740"/>
    <w:rsid w:val="007C1995"/>
    <w:rsid w:val="007C2101"/>
    <w:rsid w:val="007C2860"/>
    <w:rsid w:val="007C2B3D"/>
    <w:rsid w:val="007C3220"/>
    <w:rsid w:val="007C4F64"/>
    <w:rsid w:val="007C778A"/>
    <w:rsid w:val="007C7886"/>
    <w:rsid w:val="007C7B1F"/>
    <w:rsid w:val="007C7D67"/>
    <w:rsid w:val="007D16BA"/>
    <w:rsid w:val="007D16D5"/>
    <w:rsid w:val="007D57B1"/>
    <w:rsid w:val="007D5803"/>
    <w:rsid w:val="007D5C2A"/>
    <w:rsid w:val="007E1890"/>
    <w:rsid w:val="007E1AE3"/>
    <w:rsid w:val="007E29D5"/>
    <w:rsid w:val="007E3081"/>
    <w:rsid w:val="007E38B9"/>
    <w:rsid w:val="007E3905"/>
    <w:rsid w:val="007E3DA5"/>
    <w:rsid w:val="007E43EE"/>
    <w:rsid w:val="007E4920"/>
    <w:rsid w:val="007E5403"/>
    <w:rsid w:val="007E5617"/>
    <w:rsid w:val="007E5E3A"/>
    <w:rsid w:val="007E657E"/>
    <w:rsid w:val="007E6C1D"/>
    <w:rsid w:val="007E6F4C"/>
    <w:rsid w:val="007E7CD2"/>
    <w:rsid w:val="007F0615"/>
    <w:rsid w:val="007F241D"/>
    <w:rsid w:val="007F2C07"/>
    <w:rsid w:val="007F3998"/>
    <w:rsid w:val="007F3BA2"/>
    <w:rsid w:val="007F4866"/>
    <w:rsid w:val="007F4BEB"/>
    <w:rsid w:val="007F657C"/>
    <w:rsid w:val="007F6AB3"/>
    <w:rsid w:val="007F6DB5"/>
    <w:rsid w:val="007F6DC3"/>
    <w:rsid w:val="007F6E47"/>
    <w:rsid w:val="007F732E"/>
    <w:rsid w:val="007F7748"/>
    <w:rsid w:val="0080044B"/>
    <w:rsid w:val="00800569"/>
    <w:rsid w:val="00800C37"/>
    <w:rsid w:val="00801C7F"/>
    <w:rsid w:val="00802A45"/>
    <w:rsid w:val="0080355D"/>
    <w:rsid w:val="00803FEA"/>
    <w:rsid w:val="00804886"/>
    <w:rsid w:val="00805238"/>
    <w:rsid w:val="008062D5"/>
    <w:rsid w:val="00807A6D"/>
    <w:rsid w:val="00810FC7"/>
    <w:rsid w:val="00814F44"/>
    <w:rsid w:val="008151E1"/>
    <w:rsid w:val="00815559"/>
    <w:rsid w:val="00815612"/>
    <w:rsid w:val="00815E02"/>
    <w:rsid w:val="00815FE5"/>
    <w:rsid w:val="00817119"/>
    <w:rsid w:val="0081714A"/>
    <w:rsid w:val="008179B1"/>
    <w:rsid w:val="00817FC6"/>
    <w:rsid w:val="00820501"/>
    <w:rsid w:val="008211AA"/>
    <w:rsid w:val="0082219A"/>
    <w:rsid w:val="00823160"/>
    <w:rsid w:val="0082447C"/>
    <w:rsid w:val="0082480C"/>
    <w:rsid w:val="00827381"/>
    <w:rsid w:val="00827EA3"/>
    <w:rsid w:val="008300CE"/>
    <w:rsid w:val="00830A17"/>
    <w:rsid w:val="00830D01"/>
    <w:rsid w:val="0083240F"/>
    <w:rsid w:val="00833B3E"/>
    <w:rsid w:val="00833C93"/>
    <w:rsid w:val="00833D7E"/>
    <w:rsid w:val="00834967"/>
    <w:rsid w:val="00834C83"/>
    <w:rsid w:val="00834CC3"/>
    <w:rsid w:val="008351AD"/>
    <w:rsid w:val="00836ABC"/>
    <w:rsid w:val="00836AF0"/>
    <w:rsid w:val="00840B95"/>
    <w:rsid w:val="00841158"/>
    <w:rsid w:val="00841F84"/>
    <w:rsid w:val="008429AB"/>
    <w:rsid w:val="00844A68"/>
    <w:rsid w:val="00845804"/>
    <w:rsid w:val="00845DE7"/>
    <w:rsid w:val="00846BC2"/>
    <w:rsid w:val="00847EA7"/>
    <w:rsid w:val="0085042C"/>
    <w:rsid w:val="0085043E"/>
    <w:rsid w:val="00850795"/>
    <w:rsid w:val="008507DC"/>
    <w:rsid w:val="0085082E"/>
    <w:rsid w:val="0085168E"/>
    <w:rsid w:val="00852CA4"/>
    <w:rsid w:val="008546A0"/>
    <w:rsid w:val="00854A76"/>
    <w:rsid w:val="00854C60"/>
    <w:rsid w:val="0085726F"/>
    <w:rsid w:val="00857964"/>
    <w:rsid w:val="00860A3B"/>
    <w:rsid w:val="00861E6E"/>
    <w:rsid w:val="00861F3B"/>
    <w:rsid w:val="0086205E"/>
    <w:rsid w:val="00862BC0"/>
    <w:rsid w:val="008634CF"/>
    <w:rsid w:val="00863A03"/>
    <w:rsid w:val="00864B0F"/>
    <w:rsid w:val="00866D1C"/>
    <w:rsid w:val="00867D28"/>
    <w:rsid w:val="00867D61"/>
    <w:rsid w:val="0087046B"/>
    <w:rsid w:val="00870BBB"/>
    <w:rsid w:val="00870D41"/>
    <w:rsid w:val="00871826"/>
    <w:rsid w:val="0087266A"/>
    <w:rsid w:val="0087367B"/>
    <w:rsid w:val="0087376F"/>
    <w:rsid w:val="00875B7B"/>
    <w:rsid w:val="00877033"/>
    <w:rsid w:val="00877985"/>
    <w:rsid w:val="00880F1A"/>
    <w:rsid w:val="00880FC3"/>
    <w:rsid w:val="008816A0"/>
    <w:rsid w:val="00881B6F"/>
    <w:rsid w:val="00881B99"/>
    <w:rsid w:val="00883A86"/>
    <w:rsid w:val="00885310"/>
    <w:rsid w:val="00890176"/>
    <w:rsid w:val="0089121F"/>
    <w:rsid w:val="008917F8"/>
    <w:rsid w:val="00893148"/>
    <w:rsid w:val="00893938"/>
    <w:rsid w:val="00893DD9"/>
    <w:rsid w:val="00893FB5"/>
    <w:rsid w:val="008943C7"/>
    <w:rsid w:val="00894D59"/>
    <w:rsid w:val="008954D7"/>
    <w:rsid w:val="00896230"/>
    <w:rsid w:val="008A11FC"/>
    <w:rsid w:val="008A1D1A"/>
    <w:rsid w:val="008A2DA0"/>
    <w:rsid w:val="008A374A"/>
    <w:rsid w:val="008A3788"/>
    <w:rsid w:val="008A38CE"/>
    <w:rsid w:val="008A512B"/>
    <w:rsid w:val="008A5595"/>
    <w:rsid w:val="008A5EB1"/>
    <w:rsid w:val="008A6737"/>
    <w:rsid w:val="008A6A97"/>
    <w:rsid w:val="008A6F16"/>
    <w:rsid w:val="008A7DF1"/>
    <w:rsid w:val="008B0A8C"/>
    <w:rsid w:val="008B1778"/>
    <w:rsid w:val="008B3848"/>
    <w:rsid w:val="008C0574"/>
    <w:rsid w:val="008C0957"/>
    <w:rsid w:val="008C0E04"/>
    <w:rsid w:val="008C27A9"/>
    <w:rsid w:val="008C37AC"/>
    <w:rsid w:val="008C3D56"/>
    <w:rsid w:val="008C45CA"/>
    <w:rsid w:val="008C4D79"/>
    <w:rsid w:val="008C5729"/>
    <w:rsid w:val="008C5D4C"/>
    <w:rsid w:val="008C6A1B"/>
    <w:rsid w:val="008C6F95"/>
    <w:rsid w:val="008C7A95"/>
    <w:rsid w:val="008D0C58"/>
    <w:rsid w:val="008D0C8E"/>
    <w:rsid w:val="008D1649"/>
    <w:rsid w:val="008D1882"/>
    <w:rsid w:val="008D3E85"/>
    <w:rsid w:val="008D51BC"/>
    <w:rsid w:val="008D654D"/>
    <w:rsid w:val="008D66F9"/>
    <w:rsid w:val="008D6780"/>
    <w:rsid w:val="008D6802"/>
    <w:rsid w:val="008D6DAB"/>
    <w:rsid w:val="008E0E5A"/>
    <w:rsid w:val="008E0F8A"/>
    <w:rsid w:val="008E1E0D"/>
    <w:rsid w:val="008E2E2C"/>
    <w:rsid w:val="008E452F"/>
    <w:rsid w:val="008E52A9"/>
    <w:rsid w:val="008E78C8"/>
    <w:rsid w:val="008E799C"/>
    <w:rsid w:val="008F046F"/>
    <w:rsid w:val="008F0898"/>
    <w:rsid w:val="008F1265"/>
    <w:rsid w:val="008F1A57"/>
    <w:rsid w:val="008F2EE2"/>
    <w:rsid w:val="008F35F0"/>
    <w:rsid w:val="008F44C8"/>
    <w:rsid w:val="008F598E"/>
    <w:rsid w:val="008F6C76"/>
    <w:rsid w:val="00900FB4"/>
    <w:rsid w:val="00901E1C"/>
    <w:rsid w:val="009023A8"/>
    <w:rsid w:val="009024C6"/>
    <w:rsid w:val="00902F7B"/>
    <w:rsid w:val="00903A70"/>
    <w:rsid w:val="00903D06"/>
    <w:rsid w:val="0090577D"/>
    <w:rsid w:val="009065BD"/>
    <w:rsid w:val="00906910"/>
    <w:rsid w:val="009074D8"/>
    <w:rsid w:val="00907A6C"/>
    <w:rsid w:val="0091106E"/>
    <w:rsid w:val="00911F4B"/>
    <w:rsid w:val="00912346"/>
    <w:rsid w:val="00913830"/>
    <w:rsid w:val="00914540"/>
    <w:rsid w:val="00915008"/>
    <w:rsid w:val="00916A32"/>
    <w:rsid w:val="00916EBC"/>
    <w:rsid w:val="00917081"/>
    <w:rsid w:val="009208B8"/>
    <w:rsid w:val="00920C43"/>
    <w:rsid w:val="00920E7D"/>
    <w:rsid w:val="0092394B"/>
    <w:rsid w:val="00923B05"/>
    <w:rsid w:val="00924E66"/>
    <w:rsid w:val="009265FE"/>
    <w:rsid w:val="009269E0"/>
    <w:rsid w:val="009319C0"/>
    <w:rsid w:val="009322B7"/>
    <w:rsid w:val="00932311"/>
    <w:rsid w:val="009324C0"/>
    <w:rsid w:val="00933FA5"/>
    <w:rsid w:val="00934FBE"/>
    <w:rsid w:val="0093509A"/>
    <w:rsid w:val="00936B46"/>
    <w:rsid w:val="00936D03"/>
    <w:rsid w:val="00937250"/>
    <w:rsid w:val="00937955"/>
    <w:rsid w:val="00937977"/>
    <w:rsid w:val="00940546"/>
    <w:rsid w:val="0094091C"/>
    <w:rsid w:val="00942C14"/>
    <w:rsid w:val="0094337A"/>
    <w:rsid w:val="009434CF"/>
    <w:rsid w:val="009437CF"/>
    <w:rsid w:val="00943CF6"/>
    <w:rsid w:val="00944765"/>
    <w:rsid w:val="00944D1A"/>
    <w:rsid w:val="00946759"/>
    <w:rsid w:val="00946F78"/>
    <w:rsid w:val="009511AC"/>
    <w:rsid w:val="00951684"/>
    <w:rsid w:val="009519E5"/>
    <w:rsid w:val="00952533"/>
    <w:rsid w:val="00953EBE"/>
    <w:rsid w:val="00953FB1"/>
    <w:rsid w:val="009544D4"/>
    <w:rsid w:val="00955779"/>
    <w:rsid w:val="00955F33"/>
    <w:rsid w:val="00957527"/>
    <w:rsid w:val="00957D33"/>
    <w:rsid w:val="00960A19"/>
    <w:rsid w:val="00960BE3"/>
    <w:rsid w:val="009611D6"/>
    <w:rsid w:val="0096174A"/>
    <w:rsid w:val="00962CD2"/>
    <w:rsid w:val="009632DD"/>
    <w:rsid w:val="0096380B"/>
    <w:rsid w:val="00963FDA"/>
    <w:rsid w:val="009643E2"/>
    <w:rsid w:val="00964650"/>
    <w:rsid w:val="00965144"/>
    <w:rsid w:val="009658A3"/>
    <w:rsid w:val="009660FC"/>
    <w:rsid w:val="00966423"/>
    <w:rsid w:val="00967000"/>
    <w:rsid w:val="009670EC"/>
    <w:rsid w:val="009673F1"/>
    <w:rsid w:val="00967DCD"/>
    <w:rsid w:val="00970934"/>
    <w:rsid w:val="00971290"/>
    <w:rsid w:val="00972018"/>
    <w:rsid w:val="009723B2"/>
    <w:rsid w:val="0097435F"/>
    <w:rsid w:val="00974CB4"/>
    <w:rsid w:val="0097509A"/>
    <w:rsid w:val="00976B70"/>
    <w:rsid w:val="00976E64"/>
    <w:rsid w:val="00977D40"/>
    <w:rsid w:val="0098021F"/>
    <w:rsid w:val="00981975"/>
    <w:rsid w:val="009821C3"/>
    <w:rsid w:val="00984B56"/>
    <w:rsid w:val="00984E3A"/>
    <w:rsid w:val="00985180"/>
    <w:rsid w:val="009853A0"/>
    <w:rsid w:val="0098573C"/>
    <w:rsid w:val="0098651C"/>
    <w:rsid w:val="009875B0"/>
    <w:rsid w:val="00990053"/>
    <w:rsid w:val="00991789"/>
    <w:rsid w:val="00991967"/>
    <w:rsid w:val="0099215E"/>
    <w:rsid w:val="00992BD6"/>
    <w:rsid w:val="00995CAA"/>
    <w:rsid w:val="00997162"/>
    <w:rsid w:val="009A2284"/>
    <w:rsid w:val="009A2352"/>
    <w:rsid w:val="009A28DA"/>
    <w:rsid w:val="009A2F7F"/>
    <w:rsid w:val="009A50B9"/>
    <w:rsid w:val="009A52CA"/>
    <w:rsid w:val="009A6AEA"/>
    <w:rsid w:val="009A6B2B"/>
    <w:rsid w:val="009A72B4"/>
    <w:rsid w:val="009A744B"/>
    <w:rsid w:val="009B0709"/>
    <w:rsid w:val="009B0AD3"/>
    <w:rsid w:val="009B1E94"/>
    <w:rsid w:val="009B2675"/>
    <w:rsid w:val="009B4106"/>
    <w:rsid w:val="009B41B1"/>
    <w:rsid w:val="009B42D2"/>
    <w:rsid w:val="009B501A"/>
    <w:rsid w:val="009B5045"/>
    <w:rsid w:val="009B577F"/>
    <w:rsid w:val="009B5822"/>
    <w:rsid w:val="009B5E00"/>
    <w:rsid w:val="009B6F93"/>
    <w:rsid w:val="009B7BEF"/>
    <w:rsid w:val="009B7E52"/>
    <w:rsid w:val="009C05B3"/>
    <w:rsid w:val="009C5C81"/>
    <w:rsid w:val="009C6D63"/>
    <w:rsid w:val="009D06D1"/>
    <w:rsid w:val="009D150B"/>
    <w:rsid w:val="009D1A33"/>
    <w:rsid w:val="009D1DD6"/>
    <w:rsid w:val="009D3496"/>
    <w:rsid w:val="009D393C"/>
    <w:rsid w:val="009D3C54"/>
    <w:rsid w:val="009D4938"/>
    <w:rsid w:val="009D5605"/>
    <w:rsid w:val="009D5870"/>
    <w:rsid w:val="009D5D6F"/>
    <w:rsid w:val="009D5EE3"/>
    <w:rsid w:val="009D67CA"/>
    <w:rsid w:val="009D6CD6"/>
    <w:rsid w:val="009D7209"/>
    <w:rsid w:val="009D7276"/>
    <w:rsid w:val="009D7CB7"/>
    <w:rsid w:val="009E0050"/>
    <w:rsid w:val="009E0C6E"/>
    <w:rsid w:val="009E1724"/>
    <w:rsid w:val="009E1913"/>
    <w:rsid w:val="009E1CA2"/>
    <w:rsid w:val="009E211F"/>
    <w:rsid w:val="009E23F8"/>
    <w:rsid w:val="009E3402"/>
    <w:rsid w:val="009E36B8"/>
    <w:rsid w:val="009E501E"/>
    <w:rsid w:val="009E741B"/>
    <w:rsid w:val="009E7658"/>
    <w:rsid w:val="009E795F"/>
    <w:rsid w:val="009F001A"/>
    <w:rsid w:val="009F03B5"/>
    <w:rsid w:val="009F0B65"/>
    <w:rsid w:val="009F348E"/>
    <w:rsid w:val="009F4466"/>
    <w:rsid w:val="009F5934"/>
    <w:rsid w:val="00A001E7"/>
    <w:rsid w:val="00A00320"/>
    <w:rsid w:val="00A014C0"/>
    <w:rsid w:val="00A017F9"/>
    <w:rsid w:val="00A01C2A"/>
    <w:rsid w:val="00A02D14"/>
    <w:rsid w:val="00A02F71"/>
    <w:rsid w:val="00A02FB2"/>
    <w:rsid w:val="00A039DB"/>
    <w:rsid w:val="00A043C9"/>
    <w:rsid w:val="00A064B2"/>
    <w:rsid w:val="00A06903"/>
    <w:rsid w:val="00A07E64"/>
    <w:rsid w:val="00A07F4C"/>
    <w:rsid w:val="00A104E8"/>
    <w:rsid w:val="00A10871"/>
    <w:rsid w:val="00A119BF"/>
    <w:rsid w:val="00A11AA4"/>
    <w:rsid w:val="00A14207"/>
    <w:rsid w:val="00A14B60"/>
    <w:rsid w:val="00A151AC"/>
    <w:rsid w:val="00A1599E"/>
    <w:rsid w:val="00A15C14"/>
    <w:rsid w:val="00A16272"/>
    <w:rsid w:val="00A16D10"/>
    <w:rsid w:val="00A17CE9"/>
    <w:rsid w:val="00A22218"/>
    <w:rsid w:val="00A2274D"/>
    <w:rsid w:val="00A23308"/>
    <w:rsid w:val="00A2339E"/>
    <w:rsid w:val="00A23EE2"/>
    <w:rsid w:val="00A2526F"/>
    <w:rsid w:val="00A25665"/>
    <w:rsid w:val="00A25CC2"/>
    <w:rsid w:val="00A25E40"/>
    <w:rsid w:val="00A25EDD"/>
    <w:rsid w:val="00A25FBF"/>
    <w:rsid w:val="00A2671C"/>
    <w:rsid w:val="00A2689F"/>
    <w:rsid w:val="00A3148E"/>
    <w:rsid w:val="00A32324"/>
    <w:rsid w:val="00A33FD4"/>
    <w:rsid w:val="00A3466E"/>
    <w:rsid w:val="00A34BFF"/>
    <w:rsid w:val="00A35BD0"/>
    <w:rsid w:val="00A35FC0"/>
    <w:rsid w:val="00A36268"/>
    <w:rsid w:val="00A3704F"/>
    <w:rsid w:val="00A40FBE"/>
    <w:rsid w:val="00A42502"/>
    <w:rsid w:val="00A42507"/>
    <w:rsid w:val="00A439A3"/>
    <w:rsid w:val="00A44EB7"/>
    <w:rsid w:val="00A47512"/>
    <w:rsid w:val="00A47B92"/>
    <w:rsid w:val="00A506CB"/>
    <w:rsid w:val="00A509AE"/>
    <w:rsid w:val="00A52C1E"/>
    <w:rsid w:val="00A52CDF"/>
    <w:rsid w:val="00A5687A"/>
    <w:rsid w:val="00A56BBE"/>
    <w:rsid w:val="00A57171"/>
    <w:rsid w:val="00A5762C"/>
    <w:rsid w:val="00A61604"/>
    <w:rsid w:val="00A61CB4"/>
    <w:rsid w:val="00A6315D"/>
    <w:rsid w:val="00A63195"/>
    <w:rsid w:val="00A63482"/>
    <w:rsid w:val="00A635B9"/>
    <w:rsid w:val="00A665F5"/>
    <w:rsid w:val="00A668DD"/>
    <w:rsid w:val="00A66E6B"/>
    <w:rsid w:val="00A66F12"/>
    <w:rsid w:val="00A6773B"/>
    <w:rsid w:val="00A67BD0"/>
    <w:rsid w:val="00A67CBD"/>
    <w:rsid w:val="00A702F0"/>
    <w:rsid w:val="00A70AF3"/>
    <w:rsid w:val="00A71FD7"/>
    <w:rsid w:val="00A726BA"/>
    <w:rsid w:val="00A7320F"/>
    <w:rsid w:val="00A74138"/>
    <w:rsid w:val="00A74CAD"/>
    <w:rsid w:val="00A74E1B"/>
    <w:rsid w:val="00A7618A"/>
    <w:rsid w:val="00A80666"/>
    <w:rsid w:val="00A81576"/>
    <w:rsid w:val="00A82499"/>
    <w:rsid w:val="00A826FB"/>
    <w:rsid w:val="00A833E4"/>
    <w:rsid w:val="00A83E7E"/>
    <w:rsid w:val="00A854DF"/>
    <w:rsid w:val="00A856AA"/>
    <w:rsid w:val="00A85AA5"/>
    <w:rsid w:val="00A85DF9"/>
    <w:rsid w:val="00A876C5"/>
    <w:rsid w:val="00A879CB"/>
    <w:rsid w:val="00A9107E"/>
    <w:rsid w:val="00A9184B"/>
    <w:rsid w:val="00A932F9"/>
    <w:rsid w:val="00A93DE0"/>
    <w:rsid w:val="00A94047"/>
    <w:rsid w:val="00A9671D"/>
    <w:rsid w:val="00A9771F"/>
    <w:rsid w:val="00A9772C"/>
    <w:rsid w:val="00A97BD9"/>
    <w:rsid w:val="00A97E83"/>
    <w:rsid w:val="00AA034B"/>
    <w:rsid w:val="00AA0E6A"/>
    <w:rsid w:val="00AA173D"/>
    <w:rsid w:val="00AA1F95"/>
    <w:rsid w:val="00AA295B"/>
    <w:rsid w:val="00AA2C49"/>
    <w:rsid w:val="00AA460F"/>
    <w:rsid w:val="00AA4952"/>
    <w:rsid w:val="00AA66FA"/>
    <w:rsid w:val="00AB0471"/>
    <w:rsid w:val="00AB1193"/>
    <w:rsid w:val="00AB336F"/>
    <w:rsid w:val="00AB3370"/>
    <w:rsid w:val="00AB402D"/>
    <w:rsid w:val="00AB6B9B"/>
    <w:rsid w:val="00AC0B72"/>
    <w:rsid w:val="00AC1397"/>
    <w:rsid w:val="00AC1EBE"/>
    <w:rsid w:val="00AC5289"/>
    <w:rsid w:val="00AC52ED"/>
    <w:rsid w:val="00AC56BE"/>
    <w:rsid w:val="00AC5DCF"/>
    <w:rsid w:val="00AC6F6E"/>
    <w:rsid w:val="00AD0382"/>
    <w:rsid w:val="00AD045E"/>
    <w:rsid w:val="00AD3966"/>
    <w:rsid w:val="00AD3A21"/>
    <w:rsid w:val="00AD52F5"/>
    <w:rsid w:val="00AD5F13"/>
    <w:rsid w:val="00AD611E"/>
    <w:rsid w:val="00AD6974"/>
    <w:rsid w:val="00AD6EA6"/>
    <w:rsid w:val="00AD739F"/>
    <w:rsid w:val="00AD7DAF"/>
    <w:rsid w:val="00AE056E"/>
    <w:rsid w:val="00AE0E5F"/>
    <w:rsid w:val="00AE15E0"/>
    <w:rsid w:val="00AE4333"/>
    <w:rsid w:val="00AE5530"/>
    <w:rsid w:val="00AE5566"/>
    <w:rsid w:val="00AE6083"/>
    <w:rsid w:val="00AE6FFB"/>
    <w:rsid w:val="00AE715A"/>
    <w:rsid w:val="00AE7C6C"/>
    <w:rsid w:val="00AF16BF"/>
    <w:rsid w:val="00AF245F"/>
    <w:rsid w:val="00AF28B2"/>
    <w:rsid w:val="00AF3F2F"/>
    <w:rsid w:val="00AF6197"/>
    <w:rsid w:val="00AF64EB"/>
    <w:rsid w:val="00AF7584"/>
    <w:rsid w:val="00B015AF"/>
    <w:rsid w:val="00B019BC"/>
    <w:rsid w:val="00B01EC4"/>
    <w:rsid w:val="00B048A6"/>
    <w:rsid w:val="00B05F85"/>
    <w:rsid w:val="00B0612D"/>
    <w:rsid w:val="00B0680E"/>
    <w:rsid w:val="00B07455"/>
    <w:rsid w:val="00B07D77"/>
    <w:rsid w:val="00B1016D"/>
    <w:rsid w:val="00B11131"/>
    <w:rsid w:val="00B11992"/>
    <w:rsid w:val="00B11CE1"/>
    <w:rsid w:val="00B11E81"/>
    <w:rsid w:val="00B123F9"/>
    <w:rsid w:val="00B127F7"/>
    <w:rsid w:val="00B1325B"/>
    <w:rsid w:val="00B132E2"/>
    <w:rsid w:val="00B13C4E"/>
    <w:rsid w:val="00B143E6"/>
    <w:rsid w:val="00B1472E"/>
    <w:rsid w:val="00B154A6"/>
    <w:rsid w:val="00B15EDB"/>
    <w:rsid w:val="00B174E3"/>
    <w:rsid w:val="00B232FF"/>
    <w:rsid w:val="00B259B9"/>
    <w:rsid w:val="00B2620F"/>
    <w:rsid w:val="00B30FA8"/>
    <w:rsid w:val="00B31DE7"/>
    <w:rsid w:val="00B32203"/>
    <w:rsid w:val="00B32FB0"/>
    <w:rsid w:val="00B332D9"/>
    <w:rsid w:val="00B34F20"/>
    <w:rsid w:val="00B35172"/>
    <w:rsid w:val="00B369E8"/>
    <w:rsid w:val="00B3702F"/>
    <w:rsid w:val="00B40507"/>
    <w:rsid w:val="00B40728"/>
    <w:rsid w:val="00B43187"/>
    <w:rsid w:val="00B43835"/>
    <w:rsid w:val="00B44B43"/>
    <w:rsid w:val="00B44E80"/>
    <w:rsid w:val="00B45DD3"/>
    <w:rsid w:val="00B45ECC"/>
    <w:rsid w:val="00B45F4E"/>
    <w:rsid w:val="00B4781A"/>
    <w:rsid w:val="00B47D83"/>
    <w:rsid w:val="00B516A3"/>
    <w:rsid w:val="00B51C83"/>
    <w:rsid w:val="00B52A99"/>
    <w:rsid w:val="00B530DC"/>
    <w:rsid w:val="00B5394A"/>
    <w:rsid w:val="00B53D6E"/>
    <w:rsid w:val="00B54458"/>
    <w:rsid w:val="00B561C4"/>
    <w:rsid w:val="00B569FA"/>
    <w:rsid w:val="00B6046D"/>
    <w:rsid w:val="00B60CB8"/>
    <w:rsid w:val="00B62DC3"/>
    <w:rsid w:val="00B642D9"/>
    <w:rsid w:val="00B67313"/>
    <w:rsid w:val="00B67BB1"/>
    <w:rsid w:val="00B67F97"/>
    <w:rsid w:val="00B71F3D"/>
    <w:rsid w:val="00B71FEA"/>
    <w:rsid w:val="00B738EF"/>
    <w:rsid w:val="00B73BC5"/>
    <w:rsid w:val="00B75054"/>
    <w:rsid w:val="00B75D83"/>
    <w:rsid w:val="00B75DAB"/>
    <w:rsid w:val="00B76AA0"/>
    <w:rsid w:val="00B771A4"/>
    <w:rsid w:val="00B77CD0"/>
    <w:rsid w:val="00B80C68"/>
    <w:rsid w:val="00B80D60"/>
    <w:rsid w:val="00B81805"/>
    <w:rsid w:val="00B81CD8"/>
    <w:rsid w:val="00B82053"/>
    <w:rsid w:val="00B82676"/>
    <w:rsid w:val="00B8310C"/>
    <w:rsid w:val="00B834FB"/>
    <w:rsid w:val="00B83DBB"/>
    <w:rsid w:val="00B8517C"/>
    <w:rsid w:val="00B8575C"/>
    <w:rsid w:val="00B863B5"/>
    <w:rsid w:val="00B86886"/>
    <w:rsid w:val="00B909E0"/>
    <w:rsid w:val="00B90F8F"/>
    <w:rsid w:val="00B91D50"/>
    <w:rsid w:val="00B91FA9"/>
    <w:rsid w:val="00B9219B"/>
    <w:rsid w:val="00B9438E"/>
    <w:rsid w:val="00B95046"/>
    <w:rsid w:val="00B97A68"/>
    <w:rsid w:val="00BA02BA"/>
    <w:rsid w:val="00BA1F3B"/>
    <w:rsid w:val="00BA23DA"/>
    <w:rsid w:val="00BA2F6F"/>
    <w:rsid w:val="00BA37B5"/>
    <w:rsid w:val="00BA3C4C"/>
    <w:rsid w:val="00BA536E"/>
    <w:rsid w:val="00BA6308"/>
    <w:rsid w:val="00BA7FDC"/>
    <w:rsid w:val="00BB08CB"/>
    <w:rsid w:val="00BB09CB"/>
    <w:rsid w:val="00BB18E3"/>
    <w:rsid w:val="00BB2247"/>
    <w:rsid w:val="00BB354C"/>
    <w:rsid w:val="00BB47FE"/>
    <w:rsid w:val="00BB4B07"/>
    <w:rsid w:val="00BB4C70"/>
    <w:rsid w:val="00BB51EF"/>
    <w:rsid w:val="00BB5499"/>
    <w:rsid w:val="00BB5A5F"/>
    <w:rsid w:val="00BB6CC2"/>
    <w:rsid w:val="00BB7BEE"/>
    <w:rsid w:val="00BC06B9"/>
    <w:rsid w:val="00BC13AF"/>
    <w:rsid w:val="00BC163E"/>
    <w:rsid w:val="00BC34E9"/>
    <w:rsid w:val="00BC3B06"/>
    <w:rsid w:val="00BC4ADE"/>
    <w:rsid w:val="00BC4CD6"/>
    <w:rsid w:val="00BC552F"/>
    <w:rsid w:val="00BC5B30"/>
    <w:rsid w:val="00BC6383"/>
    <w:rsid w:val="00BC6CFE"/>
    <w:rsid w:val="00BC7089"/>
    <w:rsid w:val="00BC7401"/>
    <w:rsid w:val="00BC7690"/>
    <w:rsid w:val="00BC7BEA"/>
    <w:rsid w:val="00BD2779"/>
    <w:rsid w:val="00BD2906"/>
    <w:rsid w:val="00BD3485"/>
    <w:rsid w:val="00BD3572"/>
    <w:rsid w:val="00BD37DE"/>
    <w:rsid w:val="00BD3A6E"/>
    <w:rsid w:val="00BD4220"/>
    <w:rsid w:val="00BD44FD"/>
    <w:rsid w:val="00BD4570"/>
    <w:rsid w:val="00BD4B30"/>
    <w:rsid w:val="00BD5949"/>
    <w:rsid w:val="00BD641C"/>
    <w:rsid w:val="00BD687B"/>
    <w:rsid w:val="00BD6887"/>
    <w:rsid w:val="00BE0CCD"/>
    <w:rsid w:val="00BE1D7F"/>
    <w:rsid w:val="00BE1D86"/>
    <w:rsid w:val="00BE26AB"/>
    <w:rsid w:val="00BE38EA"/>
    <w:rsid w:val="00BE5E3A"/>
    <w:rsid w:val="00BE679B"/>
    <w:rsid w:val="00BE6B87"/>
    <w:rsid w:val="00BF037D"/>
    <w:rsid w:val="00BF06D8"/>
    <w:rsid w:val="00BF28BC"/>
    <w:rsid w:val="00BF3552"/>
    <w:rsid w:val="00BF359F"/>
    <w:rsid w:val="00BF3808"/>
    <w:rsid w:val="00BF4D98"/>
    <w:rsid w:val="00BF5711"/>
    <w:rsid w:val="00BF6139"/>
    <w:rsid w:val="00BF6312"/>
    <w:rsid w:val="00BF6EE2"/>
    <w:rsid w:val="00BF7A3F"/>
    <w:rsid w:val="00BF7BD7"/>
    <w:rsid w:val="00C011DE"/>
    <w:rsid w:val="00C0129F"/>
    <w:rsid w:val="00C021FF"/>
    <w:rsid w:val="00C02DB5"/>
    <w:rsid w:val="00C03024"/>
    <w:rsid w:val="00C031FB"/>
    <w:rsid w:val="00C03FC2"/>
    <w:rsid w:val="00C04E75"/>
    <w:rsid w:val="00C04F85"/>
    <w:rsid w:val="00C051BB"/>
    <w:rsid w:val="00C05334"/>
    <w:rsid w:val="00C06431"/>
    <w:rsid w:val="00C06810"/>
    <w:rsid w:val="00C10C49"/>
    <w:rsid w:val="00C10C79"/>
    <w:rsid w:val="00C113F4"/>
    <w:rsid w:val="00C120C1"/>
    <w:rsid w:val="00C134EA"/>
    <w:rsid w:val="00C13DF1"/>
    <w:rsid w:val="00C14556"/>
    <w:rsid w:val="00C14AAA"/>
    <w:rsid w:val="00C153CD"/>
    <w:rsid w:val="00C16B81"/>
    <w:rsid w:val="00C17250"/>
    <w:rsid w:val="00C20BF5"/>
    <w:rsid w:val="00C211D5"/>
    <w:rsid w:val="00C2154D"/>
    <w:rsid w:val="00C21DDA"/>
    <w:rsid w:val="00C221F0"/>
    <w:rsid w:val="00C237CC"/>
    <w:rsid w:val="00C23ED2"/>
    <w:rsid w:val="00C246F9"/>
    <w:rsid w:val="00C24D0F"/>
    <w:rsid w:val="00C25F5F"/>
    <w:rsid w:val="00C27C2A"/>
    <w:rsid w:val="00C30537"/>
    <w:rsid w:val="00C305FE"/>
    <w:rsid w:val="00C30C15"/>
    <w:rsid w:val="00C319D9"/>
    <w:rsid w:val="00C3212B"/>
    <w:rsid w:val="00C32BFC"/>
    <w:rsid w:val="00C33528"/>
    <w:rsid w:val="00C33792"/>
    <w:rsid w:val="00C33D36"/>
    <w:rsid w:val="00C34DFD"/>
    <w:rsid w:val="00C35495"/>
    <w:rsid w:val="00C35C29"/>
    <w:rsid w:val="00C36054"/>
    <w:rsid w:val="00C41545"/>
    <w:rsid w:val="00C4178F"/>
    <w:rsid w:val="00C42416"/>
    <w:rsid w:val="00C4332B"/>
    <w:rsid w:val="00C436CC"/>
    <w:rsid w:val="00C43B49"/>
    <w:rsid w:val="00C44560"/>
    <w:rsid w:val="00C44638"/>
    <w:rsid w:val="00C44C38"/>
    <w:rsid w:val="00C470C2"/>
    <w:rsid w:val="00C47B37"/>
    <w:rsid w:val="00C517CE"/>
    <w:rsid w:val="00C5306C"/>
    <w:rsid w:val="00C538BE"/>
    <w:rsid w:val="00C5569F"/>
    <w:rsid w:val="00C562A7"/>
    <w:rsid w:val="00C57308"/>
    <w:rsid w:val="00C5746D"/>
    <w:rsid w:val="00C57FB8"/>
    <w:rsid w:val="00C609BA"/>
    <w:rsid w:val="00C60DBB"/>
    <w:rsid w:val="00C60F84"/>
    <w:rsid w:val="00C610FC"/>
    <w:rsid w:val="00C611FB"/>
    <w:rsid w:val="00C6234F"/>
    <w:rsid w:val="00C62891"/>
    <w:rsid w:val="00C63043"/>
    <w:rsid w:val="00C648F7"/>
    <w:rsid w:val="00C654DF"/>
    <w:rsid w:val="00C65A16"/>
    <w:rsid w:val="00C662C3"/>
    <w:rsid w:val="00C66487"/>
    <w:rsid w:val="00C6663E"/>
    <w:rsid w:val="00C679C8"/>
    <w:rsid w:val="00C71940"/>
    <w:rsid w:val="00C7204F"/>
    <w:rsid w:val="00C72962"/>
    <w:rsid w:val="00C7317F"/>
    <w:rsid w:val="00C738BD"/>
    <w:rsid w:val="00C74072"/>
    <w:rsid w:val="00C746F9"/>
    <w:rsid w:val="00C74838"/>
    <w:rsid w:val="00C7492D"/>
    <w:rsid w:val="00C7550C"/>
    <w:rsid w:val="00C75AE8"/>
    <w:rsid w:val="00C76AC7"/>
    <w:rsid w:val="00C80EA6"/>
    <w:rsid w:val="00C815D0"/>
    <w:rsid w:val="00C833CD"/>
    <w:rsid w:val="00C83B46"/>
    <w:rsid w:val="00C85140"/>
    <w:rsid w:val="00C856E7"/>
    <w:rsid w:val="00C8624D"/>
    <w:rsid w:val="00C86452"/>
    <w:rsid w:val="00C871D6"/>
    <w:rsid w:val="00C8736A"/>
    <w:rsid w:val="00C876E5"/>
    <w:rsid w:val="00C87798"/>
    <w:rsid w:val="00C87828"/>
    <w:rsid w:val="00C901AE"/>
    <w:rsid w:val="00C9050F"/>
    <w:rsid w:val="00C90ED4"/>
    <w:rsid w:val="00C91490"/>
    <w:rsid w:val="00C914EF"/>
    <w:rsid w:val="00C91846"/>
    <w:rsid w:val="00C918D7"/>
    <w:rsid w:val="00C92F25"/>
    <w:rsid w:val="00C9408F"/>
    <w:rsid w:val="00C96A98"/>
    <w:rsid w:val="00C96ACF"/>
    <w:rsid w:val="00C96CA8"/>
    <w:rsid w:val="00C97A70"/>
    <w:rsid w:val="00CA0CF2"/>
    <w:rsid w:val="00CA0F49"/>
    <w:rsid w:val="00CA1D48"/>
    <w:rsid w:val="00CA249B"/>
    <w:rsid w:val="00CA3136"/>
    <w:rsid w:val="00CA40EB"/>
    <w:rsid w:val="00CA4379"/>
    <w:rsid w:val="00CA4632"/>
    <w:rsid w:val="00CA519A"/>
    <w:rsid w:val="00CA7CAF"/>
    <w:rsid w:val="00CB15B6"/>
    <w:rsid w:val="00CB30C6"/>
    <w:rsid w:val="00CB3B1A"/>
    <w:rsid w:val="00CB4176"/>
    <w:rsid w:val="00CB59E2"/>
    <w:rsid w:val="00CB5CAA"/>
    <w:rsid w:val="00CB693E"/>
    <w:rsid w:val="00CB7289"/>
    <w:rsid w:val="00CB7A1B"/>
    <w:rsid w:val="00CB7CC1"/>
    <w:rsid w:val="00CC0514"/>
    <w:rsid w:val="00CC0E6B"/>
    <w:rsid w:val="00CC1041"/>
    <w:rsid w:val="00CC1D4C"/>
    <w:rsid w:val="00CC2275"/>
    <w:rsid w:val="00CC2601"/>
    <w:rsid w:val="00CC3A5F"/>
    <w:rsid w:val="00CC4119"/>
    <w:rsid w:val="00CC456E"/>
    <w:rsid w:val="00CD0636"/>
    <w:rsid w:val="00CD068F"/>
    <w:rsid w:val="00CD2FEB"/>
    <w:rsid w:val="00CD30DA"/>
    <w:rsid w:val="00CD39ED"/>
    <w:rsid w:val="00CD3AB0"/>
    <w:rsid w:val="00CD5800"/>
    <w:rsid w:val="00CD5924"/>
    <w:rsid w:val="00CD7568"/>
    <w:rsid w:val="00CD7D68"/>
    <w:rsid w:val="00CE16E4"/>
    <w:rsid w:val="00CE1785"/>
    <w:rsid w:val="00CE21C9"/>
    <w:rsid w:val="00CE277B"/>
    <w:rsid w:val="00CE2C58"/>
    <w:rsid w:val="00CE2EAC"/>
    <w:rsid w:val="00CE5017"/>
    <w:rsid w:val="00CE6997"/>
    <w:rsid w:val="00CE7ED7"/>
    <w:rsid w:val="00CF0147"/>
    <w:rsid w:val="00CF01D9"/>
    <w:rsid w:val="00CF02C5"/>
    <w:rsid w:val="00CF180A"/>
    <w:rsid w:val="00CF367B"/>
    <w:rsid w:val="00CF3820"/>
    <w:rsid w:val="00CF4017"/>
    <w:rsid w:val="00CF411B"/>
    <w:rsid w:val="00CF519E"/>
    <w:rsid w:val="00CF5DF3"/>
    <w:rsid w:val="00CF63EC"/>
    <w:rsid w:val="00CF7BF0"/>
    <w:rsid w:val="00CF7CBA"/>
    <w:rsid w:val="00CF7E8E"/>
    <w:rsid w:val="00D01B84"/>
    <w:rsid w:val="00D028FA"/>
    <w:rsid w:val="00D02915"/>
    <w:rsid w:val="00D0381E"/>
    <w:rsid w:val="00D0502C"/>
    <w:rsid w:val="00D053D3"/>
    <w:rsid w:val="00D06426"/>
    <w:rsid w:val="00D10E15"/>
    <w:rsid w:val="00D113E6"/>
    <w:rsid w:val="00D114E6"/>
    <w:rsid w:val="00D11AC4"/>
    <w:rsid w:val="00D1211D"/>
    <w:rsid w:val="00D12B5D"/>
    <w:rsid w:val="00D13831"/>
    <w:rsid w:val="00D13F6F"/>
    <w:rsid w:val="00D1498B"/>
    <w:rsid w:val="00D1563C"/>
    <w:rsid w:val="00D15E3A"/>
    <w:rsid w:val="00D16586"/>
    <w:rsid w:val="00D16B48"/>
    <w:rsid w:val="00D171CC"/>
    <w:rsid w:val="00D209E1"/>
    <w:rsid w:val="00D20C6B"/>
    <w:rsid w:val="00D217A3"/>
    <w:rsid w:val="00D21C34"/>
    <w:rsid w:val="00D22C85"/>
    <w:rsid w:val="00D22DA3"/>
    <w:rsid w:val="00D22E3A"/>
    <w:rsid w:val="00D23500"/>
    <w:rsid w:val="00D2379A"/>
    <w:rsid w:val="00D23FF9"/>
    <w:rsid w:val="00D243E9"/>
    <w:rsid w:val="00D246C5"/>
    <w:rsid w:val="00D24BEB"/>
    <w:rsid w:val="00D2532C"/>
    <w:rsid w:val="00D25F48"/>
    <w:rsid w:val="00D26685"/>
    <w:rsid w:val="00D27075"/>
    <w:rsid w:val="00D273AF"/>
    <w:rsid w:val="00D2751F"/>
    <w:rsid w:val="00D30F69"/>
    <w:rsid w:val="00D32ACA"/>
    <w:rsid w:val="00D32C49"/>
    <w:rsid w:val="00D33203"/>
    <w:rsid w:val="00D333BC"/>
    <w:rsid w:val="00D338DF"/>
    <w:rsid w:val="00D33EF9"/>
    <w:rsid w:val="00D33F15"/>
    <w:rsid w:val="00D34887"/>
    <w:rsid w:val="00D35450"/>
    <w:rsid w:val="00D35E0B"/>
    <w:rsid w:val="00D36133"/>
    <w:rsid w:val="00D37638"/>
    <w:rsid w:val="00D376D6"/>
    <w:rsid w:val="00D405FA"/>
    <w:rsid w:val="00D40DC1"/>
    <w:rsid w:val="00D41A4B"/>
    <w:rsid w:val="00D42316"/>
    <w:rsid w:val="00D43B64"/>
    <w:rsid w:val="00D43BB2"/>
    <w:rsid w:val="00D43BCB"/>
    <w:rsid w:val="00D44B5E"/>
    <w:rsid w:val="00D4597C"/>
    <w:rsid w:val="00D45B6A"/>
    <w:rsid w:val="00D46119"/>
    <w:rsid w:val="00D462CE"/>
    <w:rsid w:val="00D468C5"/>
    <w:rsid w:val="00D46A45"/>
    <w:rsid w:val="00D47C81"/>
    <w:rsid w:val="00D50471"/>
    <w:rsid w:val="00D5069C"/>
    <w:rsid w:val="00D50FD9"/>
    <w:rsid w:val="00D51564"/>
    <w:rsid w:val="00D54A08"/>
    <w:rsid w:val="00D5501F"/>
    <w:rsid w:val="00D5613A"/>
    <w:rsid w:val="00D5752D"/>
    <w:rsid w:val="00D57542"/>
    <w:rsid w:val="00D60281"/>
    <w:rsid w:val="00D6053C"/>
    <w:rsid w:val="00D605EB"/>
    <w:rsid w:val="00D611D1"/>
    <w:rsid w:val="00D611FE"/>
    <w:rsid w:val="00D618DD"/>
    <w:rsid w:val="00D61FBB"/>
    <w:rsid w:val="00D61FC7"/>
    <w:rsid w:val="00D624B0"/>
    <w:rsid w:val="00D62C68"/>
    <w:rsid w:val="00D62CA6"/>
    <w:rsid w:val="00D62F75"/>
    <w:rsid w:val="00D6369A"/>
    <w:rsid w:val="00D63707"/>
    <w:rsid w:val="00D656D9"/>
    <w:rsid w:val="00D658FC"/>
    <w:rsid w:val="00D66047"/>
    <w:rsid w:val="00D6637A"/>
    <w:rsid w:val="00D669D2"/>
    <w:rsid w:val="00D67522"/>
    <w:rsid w:val="00D70267"/>
    <w:rsid w:val="00D705A8"/>
    <w:rsid w:val="00D71FCF"/>
    <w:rsid w:val="00D73CB6"/>
    <w:rsid w:val="00D762F4"/>
    <w:rsid w:val="00D76974"/>
    <w:rsid w:val="00D80E31"/>
    <w:rsid w:val="00D8111F"/>
    <w:rsid w:val="00D81F95"/>
    <w:rsid w:val="00D82BF7"/>
    <w:rsid w:val="00D836AB"/>
    <w:rsid w:val="00D8406E"/>
    <w:rsid w:val="00D84095"/>
    <w:rsid w:val="00D841F9"/>
    <w:rsid w:val="00D85552"/>
    <w:rsid w:val="00D85EF8"/>
    <w:rsid w:val="00D8643E"/>
    <w:rsid w:val="00D86561"/>
    <w:rsid w:val="00D900F5"/>
    <w:rsid w:val="00D90A11"/>
    <w:rsid w:val="00D90C00"/>
    <w:rsid w:val="00D91A48"/>
    <w:rsid w:val="00D926ED"/>
    <w:rsid w:val="00D926F0"/>
    <w:rsid w:val="00D9376C"/>
    <w:rsid w:val="00D9426E"/>
    <w:rsid w:val="00D94634"/>
    <w:rsid w:val="00D94657"/>
    <w:rsid w:val="00D94DE7"/>
    <w:rsid w:val="00D9566F"/>
    <w:rsid w:val="00D956F6"/>
    <w:rsid w:val="00D9777B"/>
    <w:rsid w:val="00D97E00"/>
    <w:rsid w:val="00DA0253"/>
    <w:rsid w:val="00DA02C5"/>
    <w:rsid w:val="00DA03F0"/>
    <w:rsid w:val="00DA0428"/>
    <w:rsid w:val="00DA13F1"/>
    <w:rsid w:val="00DA20DC"/>
    <w:rsid w:val="00DA25B2"/>
    <w:rsid w:val="00DA273A"/>
    <w:rsid w:val="00DA2C89"/>
    <w:rsid w:val="00DA4951"/>
    <w:rsid w:val="00DA5C81"/>
    <w:rsid w:val="00DA658B"/>
    <w:rsid w:val="00DA661B"/>
    <w:rsid w:val="00DA7374"/>
    <w:rsid w:val="00DA7A86"/>
    <w:rsid w:val="00DB0BB1"/>
    <w:rsid w:val="00DB0F3E"/>
    <w:rsid w:val="00DB27CD"/>
    <w:rsid w:val="00DB2D87"/>
    <w:rsid w:val="00DB3374"/>
    <w:rsid w:val="00DB3B45"/>
    <w:rsid w:val="00DB4537"/>
    <w:rsid w:val="00DB66E3"/>
    <w:rsid w:val="00DB679F"/>
    <w:rsid w:val="00DB78DE"/>
    <w:rsid w:val="00DC0E68"/>
    <w:rsid w:val="00DC22E7"/>
    <w:rsid w:val="00DC4BBA"/>
    <w:rsid w:val="00DC66FF"/>
    <w:rsid w:val="00DC6C2F"/>
    <w:rsid w:val="00DD0CBC"/>
    <w:rsid w:val="00DD18C0"/>
    <w:rsid w:val="00DD1AD7"/>
    <w:rsid w:val="00DD2337"/>
    <w:rsid w:val="00DD3C14"/>
    <w:rsid w:val="00DD3D4B"/>
    <w:rsid w:val="00DD5BCB"/>
    <w:rsid w:val="00DD5E56"/>
    <w:rsid w:val="00DD5F53"/>
    <w:rsid w:val="00DD6648"/>
    <w:rsid w:val="00DE0664"/>
    <w:rsid w:val="00DE0FCD"/>
    <w:rsid w:val="00DE1B3B"/>
    <w:rsid w:val="00DE311F"/>
    <w:rsid w:val="00DE5366"/>
    <w:rsid w:val="00DE5761"/>
    <w:rsid w:val="00DE6674"/>
    <w:rsid w:val="00DE6F1C"/>
    <w:rsid w:val="00DE7753"/>
    <w:rsid w:val="00DE7D1A"/>
    <w:rsid w:val="00DF0645"/>
    <w:rsid w:val="00DF0C82"/>
    <w:rsid w:val="00DF1013"/>
    <w:rsid w:val="00DF1300"/>
    <w:rsid w:val="00DF14A0"/>
    <w:rsid w:val="00DF1C26"/>
    <w:rsid w:val="00DF1DF7"/>
    <w:rsid w:val="00DF2C36"/>
    <w:rsid w:val="00DF2E28"/>
    <w:rsid w:val="00DF2EDD"/>
    <w:rsid w:val="00DF3149"/>
    <w:rsid w:val="00DF33EB"/>
    <w:rsid w:val="00DF36B4"/>
    <w:rsid w:val="00DF3851"/>
    <w:rsid w:val="00DF3F53"/>
    <w:rsid w:val="00DF413F"/>
    <w:rsid w:val="00DF4373"/>
    <w:rsid w:val="00DF4C62"/>
    <w:rsid w:val="00DF4DCE"/>
    <w:rsid w:val="00DF72BE"/>
    <w:rsid w:val="00DF74D4"/>
    <w:rsid w:val="00DF7F7D"/>
    <w:rsid w:val="00E00CA0"/>
    <w:rsid w:val="00E01970"/>
    <w:rsid w:val="00E01AEB"/>
    <w:rsid w:val="00E02A2C"/>
    <w:rsid w:val="00E03D13"/>
    <w:rsid w:val="00E0567E"/>
    <w:rsid w:val="00E07187"/>
    <w:rsid w:val="00E07242"/>
    <w:rsid w:val="00E10408"/>
    <w:rsid w:val="00E10739"/>
    <w:rsid w:val="00E11D46"/>
    <w:rsid w:val="00E11E7D"/>
    <w:rsid w:val="00E1289D"/>
    <w:rsid w:val="00E132EC"/>
    <w:rsid w:val="00E13BC0"/>
    <w:rsid w:val="00E140F1"/>
    <w:rsid w:val="00E144B2"/>
    <w:rsid w:val="00E14C00"/>
    <w:rsid w:val="00E15FA6"/>
    <w:rsid w:val="00E167A1"/>
    <w:rsid w:val="00E200B9"/>
    <w:rsid w:val="00E20990"/>
    <w:rsid w:val="00E20A8E"/>
    <w:rsid w:val="00E2252B"/>
    <w:rsid w:val="00E228D0"/>
    <w:rsid w:val="00E24578"/>
    <w:rsid w:val="00E24F62"/>
    <w:rsid w:val="00E25086"/>
    <w:rsid w:val="00E27B7E"/>
    <w:rsid w:val="00E30361"/>
    <w:rsid w:val="00E304C0"/>
    <w:rsid w:val="00E30640"/>
    <w:rsid w:val="00E3159B"/>
    <w:rsid w:val="00E3259F"/>
    <w:rsid w:val="00E32AC7"/>
    <w:rsid w:val="00E334AC"/>
    <w:rsid w:val="00E34BF1"/>
    <w:rsid w:val="00E35453"/>
    <w:rsid w:val="00E35A2E"/>
    <w:rsid w:val="00E360A5"/>
    <w:rsid w:val="00E36723"/>
    <w:rsid w:val="00E36A52"/>
    <w:rsid w:val="00E3799C"/>
    <w:rsid w:val="00E4053D"/>
    <w:rsid w:val="00E40690"/>
    <w:rsid w:val="00E419C6"/>
    <w:rsid w:val="00E43249"/>
    <w:rsid w:val="00E43612"/>
    <w:rsid w:val="00E43FAB"/>
    <w:rsid w:val="00E4516C"/>
    <w:rsid w:val="00E452FF"/>
    <w:rsid w:val="00E45620"/>
    <w:rsid w:val="00E457A9"/>
    <w:rsid w:val="00E45E35"/>
    <w:rsid w:val="00E45F08"/>
    <w:rsid w:val="00E46E65"/>
    <w:rsid w:val="00E4702B"/>
    <w:rsid w:val="00E478C7"/>
    <w:rsid w:val="00E50530"/>
    <w:rsid w:val="00E53284"/>
    <w:rsid w:val="00E53A2F"/>
    <w:rsid w:val="00E53CC9"/>
    <w:rsid w:val="00E54842"/>
    <w:rsid w:val="00E54EE9"/>
    <w:rsid w:val="00E551E1"/>
    <w:rsid w:val="00E55A57"/>
    <w:rsid w:val="00E57523"/>
    <w:rsid w:val="00E57DAD"/>
    <w:rsid w:val="00E60F8B"/>
    <w:rsid w:val="00E61079"/>
    <w:rsid w:val="00E612DB"/>
    <w:rsid w:val="00E640D2"/>
    <w:rsid w:val="00E645F4"/>
    <w:rsid w:val="00E64D9D"/>
    <w:rsid w:val="00E653EC"/>
    <w:rsid w:val="00E65CB3"/>
    <w:rsid w:val="00E65FEF"/>
    <w:rsid w:val="00E66646"/>
    <w:rsid w:val="00E70A72"/>
    <w:rsid w:val="00E71A88"/>
    <w:rsid w:val="00E7290C"/>
    <w:rsid w:val="00E732FC"/>
    <w:rsid w:val="00E73A5A"/>
    <w:rsid w:val="00E740B6"/>
    <w:rsid w:val="00E744A5"/>
    <w:rsid w:val="00E744B4"/>
    <w:rsid w:val="00E74DA6"/>
    <w:rsid w:val="00E74F6F"/>
    <w:rsid w:val="00E75675"/>
    <w:rsid w:val="00E76240"/>
    <w:rsid w:val="00E77765"/>
    <w:rsid w:val="00E828E3"/>
    <w:rsid w:val="00E82E0A"/>
    <w:rsid w:val="00E835F2"/>
    <w:rsid w:val="00E83E82"/>
    <w:rsid w:val="00E8419E"/>
    <w:rsid w:val="00E84B89"/>
    <w:rsid w:val="00E85AD8"/>
    <w:rsid w:val="00E85DE5"/>
    <w:rsid w:val="00E87598"/>
    <w:rsid w:val="00E87992"/>
    <w:rsid w:val="00E87CB8"/>
    <w:rsid w:val="00E92572"/>
    <w:rsid w:val="00E926F1"/>
    <w:rsid w:val="00E929F6"/>
    <w:rsid w:val="00E94421"/>
    <w:rsid w:val="00E947C6"/>
    <w:rsid w:val="00E961C0"/>
    <w:rsid w:val="00E96436"/>
    <w:rsid w:val="00E974E5"/>
    <w:rsid w:val="00E97839"/>
    <w:rsid w:val="00EA1401"/>
    <w:rsid w:val="00EA1750"/>
    <w:rsid w:val="00EA28A5"/>
    <w:rsid w:val="00EA444F"/>
    <w:rsid w:val="00EA544C"/>
    <w:rsid w:val="00EA5DB2"/>
    <w:rsid w:val="00EA5E54"/>
    <w:rsid w:val="00EA5FE6"/>
    <w:rsid w:val="00EA6A05"/>
    <w:rsid w:val="00EA6BEB"/>
    <w:rsid w:val="00EB02C8"/>
    <w:rsid w:val="00EB048B"/>
    <w:rsid w:val="00EB0BB9"/>
    <w:rsid w:val="00EB158C"/>
    <w:rsid w:val="00EB2A6F"/>
    <w:rsid w:val="00EB310B"/>
    <w:rsid w:val="00EB3575"/>
    <w:rsid w:val="00EB3665"/>
    <w:rsid w:val="00EB38CB"/>
    <w:rsid w:val="00EB448A"/>
    <w:rsid w:val="00EB46DA"/>
    <w:rsid w:val="00EB5ABD"/>
    <w:rsid w:val="00EB5F9C"/>
    <w:rsid w:val="00EB629A"/>
    <w:rsid w:val="00EB77D0"/>
    <w:rsid w:val="00EB7FD6"/>
    <w:rsid w:val="00EC01BD"/>
    <w:rsid w:val="00EC04A0"/>
    <w:rsid w:val="00EC0BFE"/>
    <w:rsid w:val="00EC11DA"/>
    <w:rsid w:val="00EC329D"/>
    <w:rsid w:val="00EC3ED4"/>
    <w:rsid w:val="00EC4CD9"/>
    <w:rsid w:val="00EC55D6"/>
    <w:rsid w:val="00EC5F12"/>
    <w:rsid w:val="00EC6B19"/>
    <w:rsid w:val="00EC6BE8"/>
    <w:rsid w:val="00EC743C"/>
    <w:rsid w:val="00EC79A9"/>
    <w:rsid w:val="00EC7CC0"/>
    <w:rsid w:val="00ED2545"/>
    <w:rsid w:val="00ED444B"/>
    <w:rsid w:val="00ED45CC"/>
    <w:rsid w:val="00ED4BC3"/>
    <w:rsid w:val="00ED5519"/>
    <w:rsid w:val="00ED5ABB"/>
    <w:rsid w:val="00ED5E50"/>
    <w:rsid w:val="00ED5ED5"/>
    <w:rsid w:val="00ED7851"/>
    <w:rsid w:val="00EE043A"/>
    <w:rsid w:val="00EE052C"/>
    <w:rsid w:val="00EE0D24"/>
    <w:rsid w:val="00EE13CD"/>
    <w:rsid w:val="00EE1734"/>
    <w:rsid w:val="00EE1EF7"/>
    <w:rsid w:val="00EE1FB2"/>
    <w:rsid w:val="00EE249F"/>
    <w:rsid w:val="00EE2A82"/>
    <w:rsid w:val="00EE2AF4"/>
    <w:rsid w:val="00EE2C10"/>
    <w:rsid w:val="00EE2F55"/>
    <w:rsid w:val="00EE3351"/>
    <w:rsid w:val="00EE4619"/>
    <w:rsid w:val="00EE4F5A"/>
    <w:rsid w:val="00EE630C"/>
    <w:rsid w:val="00EF0729"/>
    <w:rsid w:val="00EF09AB"/>
    <w:rsid w:val="00EF1127"/>
    <w:rsid w:val="00EF1474"/>
    <w:rsid w:val="00EF1B66"/>
    <w:rsid w:val="00EF1ECA"/>
    <w:rsid w:val="00EF221C"/>
    <w:rsid w:val="00EF2A18"/>
    <w:rsid w:val="00EF2D54"/>
    <w:rsid w:val="00EF368D"/>
    <w:rsid w:val="00EF3DD4"/>
    <w:rsid w:val="00EF466E"/>
    <w:rsid w:val="00EF55C4"/>
    <w:rsid w:val="00EF5BB7"/>
    <w:rsid w:val="00EF68AA"/>
    <w:rsid w:val="00EF759C"/>
    <w:rsid w:val="00F0086F"/>
    <w:rsid w:val="00F013A1"/>
    <w:rsid w:val="00F01F1D"/>
    <w:rsid w:val="00F02FDF"/>
    <w:rsid w:val="00F0404F"/>
    <w:rsid w:val="00F0469A"/>
    <w:rsid w:val="00F04810"/>
    <w:rsid w:val="00F05177"/>
    <w:rsid w:val="00F07819"/>
    <w:rsid w:val="00F0791C"/>
    <w:rsid w:val="00F07F7E"/>
    <w:rsid w:val="00F10A5D"/>
    <w:rsid w:val="00F12AB8"/>
    <w:rsid w:val="00F12BC5"/>
    <w:rsid w:val="00F13A83"/>
    <w:rsid w:val="00F142C5"/>
    <w:rsid w:val="00F15D7A"/>
    <w:rsid w:val="00F17A35"/>
    <w:rsid w:val="00F208E1"/>
    <w:rsid w:val="00F21187"/>
    <w:rsid w:val="00F2122E"/>
    <w:rsid w:val="00F215D7"/>
    <w:rsid w:val="00F21D91"/>
    <w:rsid w:val="00F21DB9"/>
    <w:rsid w:val="00F21ED2"/>
    <w:rsid w:val="00F22A50"/>
    <w:rsid w:val="00F23A80"/>
    <w:rsid w:val="00F23D25"/>
    <w:rsid w:val="00F23EEE"/>
    <w:rsid w:val="00F24329"/>
    <w:rsid w:val="00F24887"/>
    <w:rsid w:val="00F24F69"/>
    <w:rsid w:val="00F25F6E"/>
    <w:rsid w:val="00F27277"/>
    <w:rsid w:val="00F27647"/>
    <w:rsid w:val="00F30A5D"/>
    <w:rsid w:val="00F30F11"/>
    <w:rsid w:val="00F318C9"/>
    <w:rsid w:val="00F32536"/>
    <w:rsid w:val="00F33E7D"/>
    <w:rsid w:val="00F36673"/>
    <w:rsid w:val="00F36A36"/>
    <w:rsid w:val="00F36D1C"/>
    <w:rsid w:val="00F41147"/>
    <w:rsid w:val="00F411D5"/>
    <w:rsid w:val="00F41C1F"/>
    <w:rsid w:val="00F41F65"/>
    <w:rsid w:val="00F42C37"/>
    <w:rsid w:val="00F4337C"/>
    <w:rsid w:val="00F4426F"/>
    <w:rsid w:val="00F44F09"/>
    <w:rsid w:val="00F454EF"/>
    <w:rsid w:val="00F470C3"/>
    <w:rsid w:val="00F47391"/>
    <w:rsid w:val="00F47A29"/>
    <w:rsid w:val="00F47D1B"/>
    <w:rsid w:val="00F50741"/>
    <w:rsid w:val="00F50AD2"/>
    <w:rsid w:val="00F50D09"/>
    <w:rsid w:val="00F52986"/>
    <w:rsid w:val="00F52CAC"/>
    <w:rsid w:val="00F5351A"/>
    <w:rsid w:val="00F54AD1"/>
    <w:rsid w:val="00F559CB"/>
    <w:rsid w:val="00F55F09"/>
    <w:rsid w:val="00F561C1"/>
    <w:rsid w:val="00F5644C"/>
    <w:rsid w:val="00F57434"/>
    <w:rsid w:val="00F5755A"/>
    <w:rsid w:val="00F578BA"/>
    <w:rsid w:val="00F57B59"/>
    <w:rsid w:val="00F60E9F"/>
    <w:rsid w:val="00F61C09"/>
    <w:rsid w:val="00F61E45"/>
    <w:rsid w:val="00F6367D"/>
    <w:rsid w:val="00F63A1D"/>
    <w:rsid w:val="00F64DFB"/>
    <w:rsid w:val="00F65B2F"/>
    <w:rsid w:val="00F669C5"/>
    <w:rsid w:val="00F70E7F"/>
    <w:rsid w:val="00F70F09"/>
    <w:rsid w:val="00F70F35"/>
    <w:rsid w:val="00F71159"/>
    <w:rsid w:val="00F71F35"/>
    <w:rsid w:val="00F723C7"/>
    <w:rsid w:val="00F7247F"/>
    <w:rsid w:val="00F73952"/>
    <w:rsid w:val="00F74B07"/>
    <w:rsid w:val="00F7597E"/>
    <w:rsid w:val="00F768A8"/>
    <w:rsid w:val="00F77190"/>
    <w:rsid w:val="00F77451"/>
    <w:rsid w:val="00F77822"/>
    <w:rsid w:val="00F77AC1"/>
    <w:rsid w:val="00F8061E"/>
    <w:rsid w:val="00F80843"/>
    <w:rsid w:val="00F82F8C"/>
    <w:rsid w:val="00F83597"/>
    <w:rsid w:val="00F83D6A"/>
    <w:rsid w:val="00F83E37"/>
    <w:rsid w:val="00F8429D"/>
    <w:rsid w:val="00F847D4"/>
    <w:rsid w:val="00F84AD8"/>
    <w:rsid w:val="00F84C43"/>
    <w:rsid w:val="00F85757"/>
    <w:rsid w:val="00F85FA6"/>
    <w:rsid w:val="00F86674"/>
    <w:rsid w:val="00F91E7E"/>
    <w:rsid w:val="00F93BC6"/>
    <w:rsid w:val="00F93C50"/>
    <w:rsid w:val="00F954C7"/>
    <w:rsid w:val="00F95B77"/>
    <w:rsid w:val="00F96234"/>
    <w:rsid w:val="00F97573"/>
    <w:rsid w:val="00F9784F"/>
    <w:rsid w:val="00F97A98"/>
    <w:rsid w:val="00FA03E4"/>
    <w:rsid w:val="00FA04E9"/>
    <w:rsid w:val="00FA09CF"/>
    <w:rsid w:val="00FA17B1"/>
    <w:rsid w:val="00FA208F"/>
    <w:rsid w:val="00FA26C2"/>
    <w:rsid w:val="00FA2F44"/>
    <w:rsid w:val="00FA6BCD"/>
    <w:rsid w:val="00FA7589"/>
    <w:rsid w:val="00FB0198"/>
    <w:rsid w:val="00FB0558"/>
    <w:rsid w:val="00FB0881"/>
    <w:rsid w:val="00FB0DBA"/>
    <w:rsid w:val="00FB138A"/>
    <w:rsid w:val="00FB279E"/>
    <w:rsid w:val="00FB2B8F"/>
    <w:rsid w:val="00FB3215"/>
    <w:rsid w:val="00FB4584"/>
    <w:rsid w:val="00FB5147"/>
    <w:rsid w:val="00FB62CC"/>
    <w:rsid w:val="00FB6C51"/>
    <w:rsid w:val="00FB721A"/>
    <w:rsid w:val="00FB783C"/>
    <w:rsid w:val="00FC03AA"/>
    <w:rsid w:val="00FC03EE"/>
    <w:rsid w:val="00FC10CC"/>
    <w:rsid w:val="00FC19C6"/>
    <w:rsid w:val="00FC3499"/>
    <w:rsid w:val="00FC368E"/>
    <w:rsid w:val="00FC3C4F"/>
    <w:rsid w:val="00FC560A"/>
    <w:rsid w:val="00FC744C"/>
    <w:rsid w:val="00FD028D"/>
    <w:rsid w:val="00FD0A6E"/>
    <w:rsid w:val="00FD172A"/>
    <w:rsid w:val="00FD1BC0"/>
    <w:rsid w:val="00FD21C1"/>
    <w:rsid w:val="00FD29EF"/>
    <w:rsid w:val="00FD2B5D"/>
    <w:rsid w:val="00FD3129"/>
    <w:rsid w:val="00FD339A"/>
    <w:rsid w:val="00FD354A"/>
    <w:rsid w:val="00FD3D3C"/>
    <w:rsid w:val="00FD3FC2"/>
    <w:rsid w:val="00FD404A"/>
    <w:rsid w:val="00FD41ED"/>
    <w:rsid w:val="00FD42FD"/>
    <w:rsid w:val="00FD4301"/>
    <w:rsid w:val="00FD4684"/>
    <w:rsid w:val="00FD4F2F"/>
    <w:rsid w:val="00FD75A5"/>
    <w:rsid w:val="00FD79B2"/>
    <w:rsid w:val="00FD7CD2"/>
    <w:rsid w:val="00FE194C"/>
    <w:rsid w:val="00FE31F6"/>
    <w:rsid w:val="00FE3C08"/>
    <w:rsid w:val="00FE3C1E"/>
    <w:rsid w:val="00FE4A79"/>
    <w:rsid w:val="00FE5F9F"/>
    <w:rsid w:val="00FE6A61"/>
    <w:rsid w:val="00FE71EF"/>
    <w:rsid w:val="00FE7312"/>
    <w:rsid w:val="00FF03D2"/>
    <w:rsid w:val="00FF092B"/>
    <w:rsid w:val="00FF0B56"/>
    <w:rsid w:val="00FF0E16"/>
    <w:rsid w:val="00FF1A02"/>
    <w:rsid w:val="00FF1EDA"/>
    <w:rsid w:val="00FF48F4"/>
    <w:rsid w:val="00FF4D6B"/>
    <w:rsid w:val="00FF621B"/>
    <w:rsid w:val="00FF726B"/>
    <w:rsid w:val="00FF75E8"/>
    <w:rsid w:val="00FF77D8"/>
    <w:rsid w:val="02315D47"/>
    <w:rsid w:val="043F1799"/>
    <w:rsid w:val="09B31889"/>
    <w:rsid w:val="14C842E9"/>
    <w:rsid w:val="22642D5C"/>
    <w:rsid w:val="26DA4B63"/>
    <w:rsid w:val="27922AF8"/>
    <w:rsid w:val="2A8820F8"/>
    <w:rsid w:val="30E53141"/>
    <w:rsid w:val="31E93867"/>
    <w:rsid w:val="35034B59"/>
    <w:rsid w:val="3B7BDF74"/>
    <w:rsid w:val="3CAF1348"/>
    <w:rsid w:val="3CC41723"/>
    <w:rsid w:val="3DFD60B5"/>
    <w:rsid w:val="42CE474D"/>
    <w:rsid w:val="45D40490"/>
    <w:rsid w:val="53D167AB"/>
    <w:rsid w:val="56410322"/>
    <w:rsid w:val="57575742"/>
    <w:rsid w:val="5FF53085"/>
    <w:rsid w:val="61EA09DC"/>
    <w:rsid w:val="64A52836"/>
    <w:rsid w:val="64AF7CA6"/>
    <w:rsid w:val="6F947AC5"/>
    <w:rsid w:val="730E7B03"/>
    <w:rsid w:val="75C74560"/>
    <w:rsid w:val="76965DA2"/>
    <w:rsid w:val="79FD4B66"/>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5A3DB"/>
  <w15:docId w15:val="{9FAEAFE8-A425-4C91-9B8D-4B0F4534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qFormat="1"/>
    <w:lsdException w:name="footnote text" w:semiHidden="1" w:uiPriority="0" w:qFormat="1"/>
    <w:lsdException w:name="annotation text" w:semiHidden="1" w:uiPriority="0"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15"/>
    <w:pPr>
      <w:widowControl w:val="0"/>
      <w:spacing w:line="360" w:lineRule="auto"/>
      <w:ind w:firstLineChars="200" w:firstLine="200"/>
      <w:jc w:val="both"/>
    </w:pPr>
    <w:rPr>
      <w:rFonts w:ascii="仿宋" w:hAnsi="仿宋"/>
      <w:kern w:val="2"/>
      <w:sz w:val="24"/>
      <w:szCs w:val="22"/>
    </w:rPr>
  </w:style>
  <w:style w:type="paragraph" w:styleId="1">
    <w:name w:val="heading 1"/>
    <w:basedOn w:val="a"/>
    <w:next w:val="a"/>
    <w:link w:val="10"/>
    <w:autoRedefine/>
    <w:qFormat/>
    <w:pPr>
      <w:keepNext/>
      <w:keepLines/>
      <w:spacing w:before="340" w:after="330"/>
      <w:jc w:val="center"/>
      <w:outlineLvl w:val="0"/>
    </w:pPr>
    <w:rPr>
      <w:b/>
      <w:bCs/>
      <w:kern w:val="44"/>
      <w:sz w:val="30"/>
      <w:szCs w:val="30"/>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0"/>
    <w:autoRedefine/>
    <w:qFormat/>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style>
  <w:style w:type="paragraph" w:styleId="a3">
    <w:name w:val="Normal Indent"/>
    <w:basedOn w:val="a"/>
    <w:autoRedefine/>
    <w:qFormat/>
    <w:pPr>
      <w:ind w:firstLine="420"/>
    </w:pPr>
    <w:rPr>
      <w:rFonts w:ascii="Times New Roman" w:hAnsi="Times New Roman"/>
      <w:szCs w:val="24"/>
    </w:rPr>
  </w:style>
  <w:style w:type="paragraph" w:styleId="a4">
    <w:name w:val="Document Map"/>
    <w:basedOn w:val="a"/>
    <w:link w:val="a5"/>
    <w:autoRedefine/>
    <w:unhideWhenUsed/>
    <w:qFormat/>
    <w:rPr>
      <w:rFonts w:ascii="宋体"/>
      <w:sz w:val="18"/>
      <w:szCs w:val="18"/>
    </w:rPr>
  </w:style>
  <w:style w:type="paragraph" w:styleId="a6">
    <w:name w:val="annotation text"/>
    <w:basedOn w:val="a"/>
    <w:link w:val="a7"/>
    <w:qFormat/>
    <w:rsid w:val="0005790D"/>
    <w:pPr>
      <w:jc w:val="left"/>
    </w:pPr>
  </w:style>
  <w:style w:type="paragraph" w:styleId="a8">
    <w:name w:val="Body Text"/>
    <w:basedOn w:val="a"/>
    <w:link w:val="a9"/>
    <w:qFormat/>
    <w:pPr>
      <w:autoSpaceDE w:val="0"/>
      <w:autoSpaceDN w:val="0"/>
      <w:adjustRightInd w:val="0"/>
      <w:jc w:val="left"/>
    </w:pPr>
    <w:rPr>
      <w:rFonts w:ascii="宋体" w:hAnsi="Calibri"/>
    </w:rPr>
  </w:style>
  <w:style w:type="paragraph" w:styleId="5">
    <w:name w:val="toc 5"/>
    <w:basedOn w:val="a"/>
    <w:next w:val="a"/>
    <w:autoRedefine/>
    <w:uiPriority w:val="39"/>
    <w:unhideWhenUsed/>
    <w:qFormat/>
    <w:pPr>
      <w:ind w:leftChars="800" w:left="1680"/>
    </w:pPr>
  </w:style>
  <w:style w:type="paragraph" w:styleId="31">
    <w:name w:val="toc 3"/>
    <w:basedOn w:val="a"/>
    <w:next w:val="a"/>
    <w:autoRedefine/>
    <w:uiPriority w:val="39"/>
    <w:qFormat/>
    <w:pPr>
      <w:ind w:leftChars="400" w:left="840"/>
    </w:pPr>
    <w:rPr>
      <w:rFonts w:ascii="Times New Roman" w:hAnsi="Times New Roman"/>
      <w:szCs w:val="20"/>
    </w:rPr>
  </w:style>
  <w:style w:type="paragraph" w:styleId="aa">
    <w:name w:val="Plain Text"/>
    <w:basedOn w:val="a"/>
    <w:link w:val="ab"/>
    <w:autoRedefine/>
    <w:qFormat/>
    <w:pPr>
      <w:adjustRightInd w:val="0"/>
      <w:spacing w:line="312" w:lineRule="atLeast"/>
      <w:textAlignment w:val="baseline"/>
    </w:pPr>
    <w:rPr>
      <w:rFonts w:ascii="宋体" w:hAnsi="Courier New"/>
      <w:kern w:val="0"/>
      <w:szCs w:val="20"/>
    </w:rPr>
  </w:style>
  <w:style w:type="paragraph" w:styleId="8">
    <w:name w:val="toc 8"/>
    <w:basedOn w:val="a"/>
    <w:next w:val="a"/>
    <w:autoRedefine/>
    <w:uiPriority w:val="39"/>
    <w:unhideWhenUsed/>
    <w:qFormat/>
    <w:pPr>
      <w:ind w:leftChars="1400" w:left="2940"/>
    </w:pPr>
  </w:style>
  <w:style w:type="paragraph" w:styleId="21">
    <w:name w:val="Body Text Indent 2"/>
    <w:basedOn w:val="a"/>
    <w:link w:val="22"/>
    <w:autoRedefine/>
    <w:qFormat/>
    <w:pPr>
      <w:ind w:firstLine="425"/>
    </w:pPr>
    <w:rPr>
      <w:rFonts w:ascii="仿宋_GB2312" w:eastAsia="仿宋_GB2312" w:hAnsi="Times New Roman"/>
      <w:sz w:val="28"/>
      <w:szCs w:val="20"/>
    </w:rPr>
  </w:style>
  <w:style w:type="paragraph" w:styleId="ac">
    <w:name w:val="Balloon Text"/>
    <w:basedOn w:val="a"/>
    <w:link w:val="ad"/>
    <w:autoRedefine/>
    <w:uiPriority w:val="99"/>
    <w:qFormat/>
    <w:rPr>
      <w:kern w:val="0"/>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nhideWhenUsed/>
    <w:qFormat/>
    <w:rsid w:val="00EB448A"/>
    <w:pPr>
      <w:pBdr>
        <w:bottom w:val="single" w:sz="6" w:space="1" w:color="auto"/>
      </w:pBdr>
      <w:tabs>
        <w:tab w:val="center" w:pos="4153"/>
        <w:tab w:val="right" w:pos="8306"/>
      </w:tabs>
      <w:snapToGrid w:val="0"/>
      <w:ind w:firstLineChars="0" w:firstLine="0"/>
      <w:jc w:val="center"/>
    </w:pPr>
    <w:rPr>
      <w:rFonts w:asciiTheme="minorEastAsia" w:eastAsiaTheme="minorEastAsia" w:hAnsiTheme="minorEastAsia"/>
      <w:sz w:val="18"/>
      <w:szCs w:val="18"/>
    </w:rPr>
  </w:style>
  <w:style w:type="paragraph" w:styleId="11">
    <w:name w:val="toc 1"/>
    <w:basedOn w:val="a"/>
    <w:next w:val="a"/>
    <w:autoRedefine/>
    <w:uiPriority w:val="39"/>
    <w:qFormat/>
    <w:pPr>
      <w:tabs>
        <w:tab w:val="right" w:leader="dot" w:pos="8296"/>
      </w:tabs>
    </w:pPr>
  </w:style>
  <w:style w:type="paragraph" w:styleId="4">
    <w:name w:val="toc 4"/>
    <w:basedOn w:val="a"/>
    <w:next w:val="a"/>
    <w:autoRedefine/>
    <w:uiPriority w:val="39"/>
    <w:unhideWhenUsed/>
    <w:qFormat/>
    <w:pPr>
      <w:ind w:leftChars="600" w:left="1260"/>
    </w:pPr>
  </w:style>
  <w:style w:type="paragraph" w:styleId="af2">
    <w:name w:val="footnote text"/>
    <w:basedOn w:val="a"/>
    <w:link w:val="af3"/>
    <w:autoRedefine/>
    <w:qFormat/>
    <w:pPr>
      <w:snapToGrid w:val="0"/>
      <w:jc w:val="left"/>
    </w:pPr>
    <w:rPr>
      <w:rFonts w:ascii="Times New Roman" w:hAnsi="Times New Roman"/>
      <w:sz w:val="18"/>
      <w:szCs w:val="20"/>
    </w:rPr>
  </w:style>
  <w:style w:type="paragraph" w:styleId="6">
    <w:name w:val="toc 6"/>
    <w:basedOn w:val="a"/>
    <w:next w:val="a"/>
    <w:autoRedefine/>
    <w:uiPriority w:val="39"/>
    <w:unhideWhenUsed/>
    <w:qFormat/>
    <w:pPr>
      <w:ind w:leftChars="1000" w:left="2100"/>
    </w:pPr>
  </w:style>
  <w:style w:type="paragraph" w:styleId="32">
    <w:name w:val="Body Text Indent 3"/>
    <w:basedOn w:val="a"/>
    <w:link w:val="33"/>
    <w:autoRedefine/>
    <w:qFormat/>
    <w:pPr>
      <w:autoSpaceDE w:val="0"/>
      <w:autoSpaceDN w:val="0"/>
      <w:adjustRightInd w:val="0"/>
      <w:ind w:left="420" w:firstLine="435"/>
    </w:pPr>
    <w:rPr>
      <w:rFonts w:ascii="Times New Roman" w:hAnsi="Times New Roman"/>
      <w:color w:val="0000FF"/>
      <w:szCs w:val="20"/>
    </w:rPr>
  </w:style>
  <w:style w:type="paragraph" w:styleId="23">
    <w:name w:val="toc 2"/>
    <w:basedOn w:val="a"/>
    <w:next w:val="a"/>
    <w:autoRedefine/>
    <w:uiPriority w:val="39"/>
    <w:unhideWhenUsed/>
    <w:qFormat/>
    <w:pPr>
      <w:ind w:leftChars="200" w:left="420"/>
    </w:pPr>
  </w:style>
  <w:style w:type="paragraph" w:styleId="9">
    <w:name w:val="toc 9"/>
    <w:basedOn w:val="a"/>
    <w:next w:val="a"/>
    <w:autoRedefine/>
    <w:uiPriority w:val="39"/>
    <w:unhideWhenUsed/>
    <w:qFormat/>
    <w:pPr>
      <w:ind w:leftChars="1600" w:left="3360"/>
    </w:p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Cs w:val="24"/>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Cs w:val="24"/>
    </w:rPr>
  </w:style>
  <w:style w:type="paragraph" w:styleId="af5">
    <w:name w:val="Title"/>
    <w:basedOn w:val="a"/>
    <w:next w:val="a"/>
    <w:link w:val="af6"/>
    <w:autoRedefine/>
    <w:qFormat/>
    <w:pPr>
      <w:spacing w:before="240" w:after="60"/>
      <w:jc w:val="center"/>
      <w:outlineLvl w:val="0"/>
    </w:pPr>
    <w:rPr>
      <w:rFonts w:ascii="Cambria" w:hAnsi="Cambria"/>
      <w:b/>
      <w:bCs/>
      <w:sz w:val="32"/>
      <w:szCs w:val="32"/>
    </w:rPr>
  </w:style>
  <w:style w:type="paragraph" w:styleId="af7">
    <w:name w:val="annotation subject"/>
    <w:basedOn w:val="a6"/>
    <w:next w:val="a6"/>
    <w:link w:val="af8"/>
    <w:autoRedefine/>
    <w:uiPriority w:val="99"/>
    <w:qFormat/>
    <w:rPr>
      <w:b/>
      <w:bCs/>
    </w:rPr>
  </w:style>
  <w:style w:type="table" w:styleId="af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autoRedefine/>
    <w:uiPriority w:val="30"/>
    <w:qFormat/>
    <w:rPr>
      <w:b/>
      <w:bCs/>
      <w:i/>
      <w:iCs/>
      <w:color w:val="4F81BD"/>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character" w:styleId="afa">
    <w:name w:val="page number"/>
    <w:autoRedefine/>
    <w:qFormat/>
  </w:style>
  <w:style w:type="character" w:styleId="afb">
    <w:name w:val="FollowedHyperlink"/>
    <w:autoRedefine/>
    <w:uiPriority w:val="99"/>
    <w:unhideWhenUsed/>
    <w:qFormat/>
    <w:rPr>
      <w:color w:val="800080"/>
      <w:u w:val="single"/>
    </w:rPr>
  </w:style>
  <w:style w:type="character" w:styleId="afc">
    <w:name w:val="Emphasis"/>
    <w:autoRedefine/>
    <w:uiPriority w:val="20"/>
    <w:qFormat/>
    <w:rPr>
      <w:i/>
      <w:iCs/>
    </w:rPr>
  </w:style>
  <w:style w:type="character" w:styleId="afd">
    <w:name w:val="Hyperlink"/>
    <w:autoRedefine/>
    <w:uiPriority w:val="99"/>
    <w:qFormat/>
    <w:rPr>
      <w:rFonts w:cs="Times New Roman"/>
      <w:color w:val="0000FF"/>
      <w:u w:val="single"/>
    </w:rPr>
  </w:style>
  <w:style w:type="character" w:styleId="afe">
    <w:name w:val="annotation reference"/>
    <w:autoRedefine/>
    <w:qFormat/>
    <w:rPr>
      <w:rFonts w:cs="Times New Roman"/>
      <w:sz w:val="21"/>
      <w:szCs w:val="21"/>
    </w:rPr>
  </w:style>
  <w:style w:type="character" w:styleId="aff">
    <w:name w:val="footnote reference"/>
    <w:autoRedefine/>
    <w:qFormat/>
    <w:rPr>
      <w:vertAlign w:val="superscript"/>
    </w:rPr>
  </w:style>
  <w:style w:type="character" w:customStyle="1" w:styleId="10">
    <w:name w:val="标题 1 字符"/>
    <w:link w:val="1"/>
    <w:autoRedefine/>
    <w:qFormat/>
    <w:rPr>
      <w:rFonts w:ascii="Calibri" w:eastAsia="仿宋" w:hAnsi="Calibri" w:cs="Times New Roman"/>
      <w:b/>
      <w:bCs/>
      <w:kern w:val="44"/>
      <w:sz w:val="30"/>
      <w:szCs w:val="30"/>
    </w:rPr>
  </w:style>
  <w:style w:type="character" w:customStyle="1" w:styleId="20">
    <w:name w:val="标题 2 字符"/>
    <w:link w:val="2"/>
    <w:autoRedefine/>
    <w:qFormat/>
    <w:rPr>
      <w:rFonts w:ascii="Arial" w:eastAsia="黑体" w:hAnsi="Arial" w:cs="Times New Roman"/>
      <w:b/>
      <w:sz w:val="32"/>
      <w:szCs w:val="20"/>
    </w:rPr>
  </w:style>
  <w:style w:type="character" w:customStyle="1" w:styleId="30">
    <w:name w:val="标题 3 字符"/>
    <w:link w:val="3"/>
    <w:autoRedefine/>
    <w:qFormat/>
    <w:rPr>
      <w:rFonts w:ascii="Times New Roman" w:eastAsia="宋体" w:hAnsi="Times New Roman" w:cs="Times New Roman"/>
      <w:b/>
      <w:sz w:val="32"/>
      <w:szCs w:val="20"/>
    </w:rPr>
  </w:style>
  <w:style w:type="character" w:customStyle="1" w:styleId="a5">
    <w:name w:val="文档结构图 字符"/>
    <w:link w:val="a4"/>
    <w:autoRedefine/>
    <w:qFormat/>
    <w:rPr>
      <w:rFonts w:ascii="宋体" w:eastAsia="宋体" w:hAnsi="Calibri" w:cs="Times New Roman"/>
      <w:sz w:val="18"/>
      <w:szCs w:val="18"/>
    </w:rPr>
  </w:style>
  <w:style w:type="character" w:customStyle="1" w:styleId="Char">
    <w:name w:val="批注文字 Char"/>
    <w:autoRedefine/>
    <w:qFormat/>
    <w:rsid w:val="00434212"/>
    <w:rPr>
      <w:rFonts w:ascii="仿宋" w:hAnsi="仿宋"/>
    </w:rPr>
  </w:style>
  <w:style w:type="character" w:customStyle="1" w:styleId="a9">
    <w:name w:val="正文文本 字符"/>
    <w:link w:val="a8"/>
    <w:autoRedefine/>
    <w:qFormat/>
    <w:rPr>
      <w:rFonts w:ascii="宋体"/>
    </w:rPr>
  </w:style>
  <w:style w:type="character" w:customStyle="1" w:styleId="ab">
    <w:name w:val="纯文本 字符"/>
    <w:link w:val="aa"/>
    <w:autoRedefine/>
    <w:qFormat/>
    <w:rPr>
      <w:rFonts w:ascii="宋体" w:eastAsia="宋体" w:hAnsi="Courier New" w:cs="Times New Roman"/>
      <w:kern w:val="0"/>
      <w:szCs w:val="20"/>
    </w:rPr>
  </w:style>
  <w:style w:type="character" w:customStyle="1" w:styleId="22">
    <w:name w:val="正文文本缩进 2 字符"/>
    <w:link w:val="21"/>
    <w:autoRedefine/>
    <w:qFormat/>
    <w:rPr>
      <w:rFonts w:ascii="仿宋_GB2312" w:eastAsia="仿宋_GB2312" w:hAnsi="Times New Roman" w:cs="Times New Roman"/>
      <w:sz w:val="28"/>
      <w:szCs w:val="20"/>
    </w:rPr>
  </w:style>
  <w:style w:type="character" w:customStyle="1" w:styleId="ad">
    <w:name w:val="批注框文本 字符"/>
    <w:link w:val="ac"/>
    <w:autoRedefine/>
    <w:uiPriority w:val="99"/>
    <w:qFormat/>
    <w:rPr>
      <w:rFonts w:ascii="Calibri" w:eastAsia="宋体" w:hAnsi="Calibri" w:cs="Times New Roman"/>
      <w:kern w:val="0"/>
      <w:sz w:val="18"/>
      <w:szCs w:val="18"/>
    </w:rPr>
  </w:style>
  <w:style w:type="character" w:customStyle="1" w:styleId="af">
    <w:name w:val="页脚 字符"/>
    <w:link w:val="ae"/>
    <w:autoRedefine/>
    <w:uiPriority w:val="99"/>
    <w:qFormat/>
    <w:rPr>
      <w:sz w:val="18"/>
      <w:szCs w:val="18"/>
    </w:rPr>
  </w:style>
  <w:style w:type="character" w:customStyle="1" w:styleId="af1">
    <w:name w:val="页眉 字符"/>
    <w:link w:val="af0"/>
    <w:autoRedefine/>
    <w:qFormat/>
    <w:rsid w:val="00EB448A"/>
    <w:rPr>
      <w:rFonts w:asciiTheme="minorEastAsia" w:eastAsiaTheme="minorEastAsia" w:hAnsiTheme="minorEastAsia"/>
      <w:kern w:val="2"/>
      <w:sz w:val="18"/>
      <w:szCs w:val="18"/>
    </w:rPr>
  </w:style>
  <w:style w:type="character" w:customStyle="1" w:styleId="af3">
    <w:name w:val="脚注文本 字符"/>
    <w:link w:val="af2"/>
    <w:autoRedefine/>
    <w:qFormat/>
    <w:rPr>
      <w:rFonts w:ascii="Times New Roman" w:eastAsia="宋体" w:hAnsi="Times New Roman" w:cs="Times New Roman"/>
      <w:sz w:val="18"/>
      <w:szCs w:val="20"/>
    </w:rPr>
  </w:style>
  <w:style w:type="character" w:customStyle="1" w:styleId="33">
    <w:name w:val="正文文本缩进 3 字符"/>
    <w:link w:val="32"/>
    <w:autoRedefine/>
    <w:qFormat/>
    <w:rPr>
      <w:rFonts w:ascii="Times New Roman" w:eastAsia="宋体" w:hAnsi="Times New Roman" w:cs="Times New Roman"/>
      <w:color w:val="0000FF"/>
      <w:szCs w:val="20"/>
    </w:rPr>
  </w:style>
  <w:style w:type="character" w:customStyle="1" w:styleId="HTML0">
    <w:name w:val="HTML 预设格式 字符"/>
    <w:link w:val="HTML"/>
    <w:autoRedefine/>
    <w:uiPriority w:val="99"/>
    <w:semiHidden/>
    <w:qFormat/>
    <w:rPr>
      <w:rFonts w:ascii="宋体" w:eastAsia="宋体" w:hAnsi="宋体" w:cs="Times New Roman"/>
      <w:kern w:val="0"/>
      <w:sz w:val="24"/>
      <w:szCs w:val="24"/>
    </w:rPr>
  </w:style>
  <w:style w:type="character" w:customStyle="1" w:styleId="af6">
    <w:name w:val="标题 字符"/>
    <w:link w:val="af5"/>
    <w:autoRedefine/>
    <w:qFormat/>
    <w:rPr>
      <w:rFonts w:ascii="Cambria" w:eastAsia="宋体" w:hAnsi="Cambria" w:cs="Times New Roman"/>
      <w:b/>
      <w:bCs/>
      <w:sz w:val="32"/>
      <w:szCs w:val="32"/>
    </w:rPr>
  </w:style>
  <w:style w:type="character" w:customStyle="1" w:styleId="af8">
    <w:name w:val="批注主题 字符"/>
    <w:link w:val="af7"/>
    <w:autoRedefine/>
    <w:uiPriority w:val="99"/>
    <w:qFormat/>
    <w:rPr>
      <w:rFonts w:ascii="Calibri" w:eastAsia="宋体" w:hAnsi="Calibri" w:cs="Times New Roman"/>
      <w:b/>
      <w:bCs/>
      <w:kern w:val="0"/>
      <w:sz w:val="20"/>
      <w:szCs w:val="20"/>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autoRedefine/>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CharChar">
    <w:name w:val="Char Char"/>
    <w:basedOn w:val="a"/>
    <w:autoRedefine/>
    <w:qFormat/>
    <w:rPr>
      <w:rFonts w:ascii="Times New Roman" w:hAnsi="Times New Roman"/>
      <w:szCs w:val="20"/>
    </w:rPr>
  </w:style>
  <w:style w:type="paragraph" w:customStyle="1" w:styleId="CharChar1">
    <w:name w:val="Char Char1"/>
    <w:basedOn w:val="a"/>
    <w:autoRedefine/>
    <w:qFormat/>
    <w:rPr>
      <w:rFonts w:ascii="Times New Roman" w:hAnsi="Times New Roman"/>
      <w:szCs w:val="20"/>
    </w:rPr>
  </w:style>
  <w:style w:type="paragraph" w:customStyle="1" w:styleId="CharChar2">
    <w:name w:val="Char Char2"/>
    <w:basedOn w:val="a"/>
    <w:autoRedefine/>
    <w:qFormat/>
    <w:rPr>
      <w:rFonts w:ascii="Times New Roman" w:hAnsi="Times New Roman"/>
      <w:szCs w:val="20"/>
    </w:rPr>
  </w:style>
  <w:style w:type="paragraph" w:customStyle="1" w:styleId="CharCharCharCharCharChar1CharCharChar">
    <w:name w:val="Char Char Char Char Char Char1 Char Char Char"/>
    <w:basedOn w:val="a"/>
    <w:autoRedefine/>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2Char">
    <w:name w:val="浅色底纹 - 强调文字颜色 2 Char"/>
    <w:autoRedefine/>
    <w:uiPriority w:val="30"/>
    <w:qFormat/>
    <w:rPr>
      <w:b/>
      <w:bCs/>
      <w:i/>
      <w:iCs/>
      <w:color w:val="4F81BD"/>
      <w:kern w:val="2"/>
      <w:sz w:val="21"/>
      <w:szCs w:val="22"/>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Cs w:val="24"/>
    </w:rPr>
  </w:style>
  <w:style w:type="paragraph" w:customStyle="1" w:styleId="msonormal1">
    <w:name w:val="msonormal1"/>
    <w:autoRedefine/>
    <w:qFormat/>
    <w:pPr>
      <w:widowControl w:val="0"/>
      <w:jc w:val="both"/>
    </w:pPr>
    <w:rPr>
      <w:rFonts w:ascii="Times New Roman" w:hAnsi="Times New Roman"/>
      <w:kern w:val="2"/>
      <w:sz w:val="21"/>
    </w:rPr>
  </w:style>
  <w:style w:type="paragraph" w:customStyle="1" w:styleId="12">
    <w:name w:val="列出段落1"/>
    <w:basedOn w:val="a"/>
    <w:autoRedefine/>
    <w:uiPriority w:val="34"/>
    <w:qFormat/>
    <w:pPr>
      <w:ind w:firstLine="420"/>
    </w:pPr>
    <w:rPr>
      <w:rFonts w:ascii="Times New Roman" w:hAnsi="Times New Roman"/>
      <w:szCs w:val="24"/>
    </w:rPr>
  </w:style>
  <w:style w:type="paragraph" w:customStyle="1" w:styleId="13">
    <w:name w:val="修订1"/>
    <w:autoRedefine/>
    <w:uiPriority w:val="99"/>
    <w:semiHidden/>
    <w:qFormat/>
    <w:rPr>
      <w:kern w:val="2"/>
      <w:sz w:val="21"/>
      <w:szCs w:val="22"/>
    </w:rPr>
  </w:style>
  <w:style w:type="character" w:customStyle="1" w:styleId="unnamed11">
    <w:name w:val="unnamed11"/>
    <w:autoRedefine/>
    <w:qFormat/>
    <w:rPr>
      <w:rFonts w:ascii="宋体" w:eastAsia="宋体" w:hAnsi="宋体" w:hint="eastAsia"/>
      <w:sz w:val="18"/>
    </w:rPr>
  </w:style>
  <w:style w:type="character" w:customStyle="1" w:styleId="read">
    <w:name w:val="read"/>
    <w:autoRedefine/>
    <w:qFormat/>
  </w:style>
  <w:style w:type="character" w:customStyle="1" w:styleId="Char1">
    <w:name w:val="正文文本 Char1"/>
    <w:autoRedefine/>
    <w:uiPriority w:val="99"/>
    <w:semiHidden/>
    <w:qFormat/>
    <w:rPr>
      <w:rFonts w:ascii="Calibri" w:eastAsia="宋体" w:hAnsi="Calibri" w:cs="Times New Roman"/>
    </w:rPr>
  </w:style>
  <w:style w:type="paragraph" w:customStyle="1" w:styleId="aff0">
    <w:name w:val="正文所"/>
    <w:basedOn w:val="a"/>
    <w:autoRedefine/>
    <w:qFormat/>
    <w:pPr>
      <w:ind w:firstLine="420"/>
    </w:pPr>
    <w:rPr>
      <w:rFonts w:ascii="宋体" w:hAnsi="Times New Roman"/>
      <w:szCs w:val="20"/>
    </w:rPr>
  </w:style>
  <w:style w:type="paragraph" w:customStyle="1" w:styleId="CharCharChar">
    <w:name w:val="Char Char Char"/>
    <w:basedOn w:val="a"/>
    <w:autoRedefine/>
    <w:qFormat/>
    <w:rPr>
      <w:rFonts w:ascii="Times New Roman" w:hAnsi="Times New Roman"/>
      <w:szCs w:val="20"/>
    </w:rPr>
  </w:style>
  <w:style w:type="paragraph" w:customStyle="1" w:styleId="Char0">
    <w:name w:val="Char"/>
    <w:basedOn w:val="a"/>
    <w:autoRedefine/>
    <w:qFormat/>
    <w:rPr>
      <w:rFonts w:ascii="Times New Roman" w:hAnsi="Times New Roman"/>
      <w:szCs w:val="20"/>
    </w:rPr>
  </w:style>
  <w:style w:type="character" w:customStyle="1" w:styleId="Char10">
    <w:name w:val="标题 Char1"/>
    <w:autoRedefine/>
    <w:uiPriority w:val="10"/>
    <w:qFormat/>
    <w:rPr>
      <w:rFonts w:ascii="Cambria" w:eastAsia="宋体" w:hAnsi="Cambria" w:cs="Times New Roman"/>
      <w:b/>
      <w:bCs/>
      <w:sz w:val="32"/>
      <w:szCs w:val="32"/>
    </w:rPr>
  </w:style>
  <w:style w:type="paragraph" w:customStyle="1" w:styleId="unnamed1">
    <w:name w:val="unnamed1"/>
    <w:basedOn w:val="a"/>
    <w:autoRedefine/>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780" w:hanging="360"/>
      <w:jc w:val="left"/>
    </w:pPr>
    <w:rPr>
      <w:rFonts w:ascii="Times New Roman" w:hAnsi="Times New Roman"/>
      <w:kern w:val="0"/>
      <w:szCs w:val="20"/>
    </w:rPr>
  </w:style>
  <w:style w:type="paragraph" w:customStyle="1" w:styleId="CharCharCharChar">
    <w:name w:val="Char Char Char Char"/>
    <w:basedOn w:val="a"/>
    <w:autoRedefine/>
    <w:qFormat/>
    <w:pPr>
      <w:tabs>
        <w:tab w:val="left" w:pos="360"/>
      </w:tabs>
    </w:pPr>
    <w:rPr>
      <w:rFonts w:ascii="Times New Roman" w:hAnsi="Times New Roman"/>
      <w:szCs w:val="20"/>
    </w:rPr>
  </w:style>
  <w:style w:type="paragraph" w:customStyle="1" w:styleId="aff1">
    <w:name w:val="正文正文"/>
    <w:basedOn w:val="a"/>
    <w:autoRedefine/>
    <w:qFormat/>
    <w:pPr>
      <w:spacing w:afterLines="25"/>
    </w:pPr>
    <w:rPr>
      <w:rFonts w:ascii="Times New Roman" w:hAnsi="Times New Roman"/>
      <w:szCs w:val="20"/>
    </w:rPr>
  </w:style>
  <w:style w:type="paragraph" w:customStyle="1" w:styleId="InfoBlue">
    <w:name w:val="InfoBlue"/>
    <w:basedOn w:val="a"/>
    <w:next w:val="a8"/>
    <w:autoRedefine/>
    <w:qFormat/>
    <w:pPr>
      <w:tabs>
        <w:tab w:val="left" w:pos="420"/>
      </w:tabs>
      <w:spacing w:after="120" w:line="240" w:lineRule="atLeast"/>
      <w:ind w:left="420" w:hanging="420"/>
      <w:jc w:val="left"/>
    </w:pPr>
    <w:rPr>
      <w:rFonts w:ascii="宋体" w:hAnsi="宋体"/>
      <w:szCs w:val="20"/>
    </w:rPr>
  </w:style>
  <w:style w:type="paragraph" w:customStyle="1" w:styleId="CharChar5">
    <w:name w:val="Char Char5"/>
    <w:basedOn w:val="a"/>
    <w:qFormat/>
    <w:rPr>
      <w:rFonts w:ascii="Times New Roman" w:hAnsi="Times New Roman"/>
      <w:szCs w:val="20"/>
    </w:rPr>
  </w:style>
  <w:style w:type="paragraph" w:customStyle="1" w:styleId="-11">
    <w:name w:val="彩色列表 - 强调文字颜色 11"/>
    <w:basedOn w:val="a"/>
    <w:autoRedefine/>
    <w:uiPriority w:val="34"/>
    <w:qFormat/>
    <w:pPr>
      <w:ind w:firstLine="420"/>
    </w:pPr>
  </w:style>
  <w:style w:type="paragraph" w:customStyle="1" w:styleId="24">
    <w:name w:val="修订2"/>
    <w:uiPriority w:val="99"/>
    <w:semiHidden/>
    <w:qFormat/>
    <w:rPr>
      <w:kern w:val="2"/>
      <w:sz w:val="21"/>
      <w:szCs w:val="22"/>
    </w:rPr>
  </w:style>
  <w:style w:type="paragraph" w:customStyle="1" w:styleId="34">
    <w:name w:val="修订3"/>
    <w:autoRedefine/>
    <w:uiPriority w:val="99"/>
    <w:semiHidden/>
    <w:qFormat/>
    <w:rPr>
      <w:rFonts w:ascii="仿宋" w:eastAsia="仿宋" w:hAnsi="仿宋"/>
      <w:kern w:val="2"/>
      <w:sz w:val="24"/>
      <w:szCs w:val="22"/>
    </w:rPr>
  </w:style>
  <w:style w:type="paragraph" w:styleId="aff2">
    <w:name w:val="List Paragraph"/>
    <w:basedOn w:val="a"/>
    <w:autoRedefine/>
    <w:uiPriority w:val="99"/>
    <w:qFormat/>
    <w:pPr>
      <w:ind w:firstLine="420"/>
    </w:pPr>
  </w:style>
  <w:style w:type="table" w:customStyle="1" w:styleId="50">
    <w:name w:val="网格型5"/>
    <w:autoRedefine/>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30">
    <w:name w:val="网格型13"/>
    <w:autoRedefine/>
    <w:uiPriority w:val="59"/>
    <w:qFormat/>
    <w:pPr>
      <w:widowControl w:val="0"/>
      <w:jc w:val="both"/>
    </w:pPr>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14">
    <w:name w:val="批注文字 字符1"/>
    <w:qFormat/>
    <w:rsid w:val="0041350E"/>
    <w:rPr>
      <w:rFonts w:eastAsia="宋体"/>
      <w:kern w:val="2"/>
      <w:sz w:val="21"/>
      <w:szCs w:val="24"/>
      <w:lang w:val="en-US" w:eastAsia="zh-CN" w:bidi="ar-SA"/>
    </w:rPr>
  </w:style>
  <w:style w:type="character" w:customStyle="1" w:styleId="a7">
    <w:name w:val="批注文字 字符"/>
    <w:basedOn w:val="a0"/>
    <w:link w:val="a6"/>
    <w:rsid w:val="0005790D"/>
    <w:rPr>
      <w:rFonts w:ascii="仿宋" w:hAnsi="仿宋"/>
      <w:kern w:val="2"/>
      <w:sz w:val="24"/>
      <w:szCs w:val="22"/>
    </w:rPr>
  </w:style>
  <w:style w:type="paragraph" w:styleId="aff3">
    <w:name w:val="Revision"/>
    <w:hidden/>
    <w:uiPriority w:val="99"/>
    <w:semiHidden/>
    <w:rsid w:val="00696C7A"/>
    <w:rPr>
      <w:rFonts w:ascii="仿宋" w:hAnsi="仿宋"/>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344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74D0-AEF2-4E01-A68A-E09FE831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9538</Words>
  <Characters>54370</Characters>
  <Application>Microsoft Office Word</Application>
  <DocSecurity>0</DocSecurity>
  <Lines>453</Lines>
  <Paragraphs>127</Paragraphs>
  <ScaleCrop>false</ScaleCrop>
  <Company/>
  <LinksUpToDate>false</LinksUpToDate>
  <CharactersWithSpaces>63781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李俊雯</dc:creator>
  <cp:keywords/>
  <dc:description/>
  <cp:lastModifiedBy>李鸿奡</cp:lastModifiedBy>
  <cp:revision>3</cp:revision>
  <cp:lastPrinted>2024-05-17T05:27:00Z</cp:lastPrinted>
  <dcterms:created xsi:type="dcterms:W3CDTF">2026-03-20T05:27:00Z</dcterms:created>
  <dcterms:modified xsi:type="dcterms:W3CDTF">2026-03-26T09:12:00Z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149f074483e44d95a0087c5ac08da45a</vt:lpwstr>
  </property>
  <property fmtid="{D5CDD505-2E9C-101B-9397-08002B2CF9AE}" pid="3" name="verificationId">
    <vt:lpwstr>8931e576e9d97544</vt:lpwstr>
  </property>
  <property fmtid="{D5CDD505-2E9C-101B-9397-08002B2CF9AE}" pid="4" name="KSOProductBuildVer">
    <vt:lpwstr>2052-12.1.0.16120</vt:lpwstr>
  </property>
  <property fmtid="{D5CDD505-2E9C-101B-9397-08002B2CF9AE}" pid="5" name="ICV">
    <vt:lpwstr>E90F4A15398242C196F95595CE7D5A53</vt:lpwstr>
  </property>
  <property fmtid="{D5CDD505-2E9C-101B-9397-08002B2CF9AE}" pid="6" name="KSOTemplateDocerSaveRecord">
    <vt:lpwstr>eyJoZGlkIjoiZWQ3MTUxODZmOGI5MGYxMzI4OTZkNjViOGFkNTljZWUiLCJ1c2VySWQiOiIyNjUyOTk1NjIifQ==</vt:lpwstr>
  </property>
</Properties>
</file>